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07 Das Buch der Richter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07 Das Buch der Richter</w:t>
      </w:r>
    </w:p>
    <w:p/>
  </w:body>
</w:document>
</file>