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43 Das Evangelium nach Johannes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43 Das Evangelium nach Johannes</w:t>
      </w:r>
    </w:p>
    <w:p/>
  </w:body>
</w:document>
</file>