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Viele haben es schon unternommen, Bericht zu geben von den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1:1    Viele haben es schon unternommen, Bericht zu geben von den</w:t>
      </w:r>
    </w:p>
    <w:p/>
  </w:body>
</w:document>
</file>