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Kitab-i-Aqdas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Kitab-i-Aqdas, Haifa: Bahá'í World Centre, 1992,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Bahá'í World Centre,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Description of the Kitáb-i-Aqdas by Shoghi</w:t>
      </w:r>
    </w:p>
    <w:p>
      <w:pPr>
        <w:ind w:left="360"/>
      </w:pPr>
      <w:r>
        <w:rPr>
          <w:i/>
        </w:rPr>
        <w:t xml:space="preserve">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Supplementary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and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Synopsis and Codification of the Laws and Ordinances of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Passages from the Aqdas Translated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</w:t>
      </w:r>
    </w:p>
    <w:p>
      <w:pPr>
        <w:ind w:left="360"/>
      </w:pPr>
      <w:r>
        <w:rPr>
          <w:i/>
        </w:rPr>
        <w:t xml:space="preserve">here</w:t>
      </w:r>
    </w:p>
    <w:p>
      <w:pPr>
        <w:ind w:left="360"/>
      </w:pPr>
      <w:r>
        <w:rPr>
          <w:i/>
        </w:rPr>
        <w:t xml:space="preserve">to read the index as a single large document)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</w:t>
      </w:r>
    </w:p>
    <w:p>
      <w:pPr>
        <w:ind w:left="360"/>
      </w:pPr>
      <w:r>
        <w:rPr>
          <w:i/>
        </w:rPr>
        <w:t xml:space="preserve">The Kitáb-i-Aqdas</w:t>
      </w:r>
    </w:p>
    <w:p>
      <w:pPr>
        <w:ind w:left="360"/>
      </w:pPr>
      <w:r>
        <w:rPr>
          <w:i/>
        </w:rPr>
        <w:t xml:space="preserve">(unformatted):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paragraph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to go to a specific paragraph of the main text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Supplementary Text item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ráqát</w:t>
      </w:r>
    </w:p>
    <w:p>
      <w:pPr>
        <w:ind w:left="360"/>
      </w:pPr>
      <w:r>
        <w:rPr>
          <w:i/>
        </w:rPr>
        <w:t xml:space="preserve">;    Obligatory Prayers:</w:t>
      </w:r>
    </w:p>
    <w:p>
      <w:pPr>
        <w:ind w:left="360"/>
      </w:pPr>
      <w:r>
        <w:rPr>
          <w:i/>
        </w:rPr>
        <w:t xml:space="preserve">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Prayer for the Dead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"Question and Answer"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Synopsis and Codification item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note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50684 views since posted 1999-09-01; last edit 2026-01-12 04:52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/writings_bahaullah_aqdas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BH00001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Kitab-i-Aqdas (Used by permission of the curator)</w:t>
      </w:r>
    </w:p>
    <w:p/>
  </w:body>
</w:document>
</file>