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2026-06-22 - 1 clipping</w:t>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w:t>
      </w:r>
    </w:p>
    <w:p/>
  </w:body>
</w:document>
</file>