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2026-06-21 - 1 clipping</w:t>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  </w:t>
      </w:r>
    </w:p>
    <w:p>
      <w:pPr>
        <w:ind w:left="360"/>
      </w:pPr>
      <w:r>
        <w:rPr>
          <w:color w:val="555555"/>
          <w:sz w:val="18"/>
        </w:rPr>
        <w:t xml:space="preserve">— Bahai Education</w:t>
      </w:r>
    </w:p>
    <w:p/>
  </w:body>
</w:document>
</file>