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2026-06-19 - 1 clipping</w:t>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