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Suffering of the Exalted Letters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Suffering of the Exalted Letters,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Musíbat-Ḥurúf-i-Alín, ​the Suffering of the Exalted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Joshua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revealed the Musíbat-Ḥurúf-i-Alín, or the Suffering of the Exalted Letters, during the</w:t>
      </w:r>
    </w:p>
    <w:p>
      <w:pPr>
        <w:ind w:left="360"/>
      </w:pPr>
      <w:r>
        <w:rPr>
          <w:i/>
        </w:rPr>
        <w:t xml:space="preserve">Baghdad period following the death of His cousin, Muḥammad Vazír. He addressed it to His cousins</w:t>
      </w:r>
    </w:p>
    <w:p>
      <w:pPr>
        <w:ind w:left="360"/>
      </w:pPr>
      <w:r>
        <w:rPr>
          <w:i/>
        </w:rPr>
        <w:t xml:space="preserve">Maryam and Havvá, the former being the sister of Muḥammad Vazír and the latter his wife, to the end</w:t>
      </w:r>
    </w:p>
    <w:p>
      <w:pPr>
        <w:ind w:left="360"/>
      </w:pPr>
      <w:r>
        <w:rPr>
          <w:i/>
        </w:rPr>
        <w:t xml:space="preserve">that it might be a consolation to them and others in facing the ineluctable passing of family and loved</w:t>
      </w:r>
    </w:p>
    <w:p>
      <w:pPr>
        <w:ind w:left="360"/>
      </w:pPr>
      <w:r>
        <w:rPr>
          <w:i/>
        </w:rPr>
        <w:t xml:space="preserve">ones. The Tablet takes the form of an extended supplication to God composed in eight parts, in which</w:t>
      </w:r>
    </w:p>
    <w:p>
      <w:pPr>
        <w:ind w:left="360"/>
      </w:pPr>
      <w:r>
        <w:rPr>
          <w:i/>
        </w:rPr>
        <w:t xml:space="preserve">Bahá’u’lláh illustrates the creation of man, the journey to maturity and perfection, and then the process</w:t>
      </w:r>
    </w:p>
    <w:p>
      <w:pPr>
        <w:ind w:left="360"/>
      </w:pPr>
      <w:r>
        <w:rPr>
          <w:i/>
        </w:rPr>
        <w:t xml:space="preserve">of death and the pain of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‘letter’ in the Bábí signification was indicative of a believer, and parts one and two could</w:t>
      </w:r>
    </w:p>
    <w:p>
      <w:pPr>
        <w:ind w:left="360"/>
      </w:pPr>
      <w:r>
        <w:rPr>
          <w:i/>
        </w:rPr>
        <w:t xml:space="preserve">thus be seen as describing the hardships and persecutions which the Letters of the Living sustained in</w:t>
      </w:r>
    </w:p>
    <w:p>
      <w:pPr>
        <w:ind w:left="360"/>
      </w:pPr>
      <w:r>
        <w:rPr>
          <w:i/>
        </w:rPr>
        <w:t xml:space="preserve">the Bábí Dispensation, in addition to the woes that had befallen the entire body of the Cause. The</w:t>
      </w:r>
    </w:p>
    <w:p>
      <w:pPr>
        <w:ind w:left="360"/>
      </w:pPr>
      <w:r>
        <w:rPr>
          <w:i/>
        </w:rPr>
        <w:t xml:space="preserve">second part employs the allegory of lamps shedding divine light, whom God preserved from “the</w:t>
      </w:r>
    </w:p>
    <w:p>
      <w:pPr>
        <w:ind w:left="360"/>
      </w:pPr>
      <w:r>
        <w:rPr>
          <w:i/>
        </w:rPr>
        <w:t xml:space="preserve">winds of antipathy” but who eventually succumbed and were extinguished, perhaps narrating the</w:t>
      </w:r>
    </w:p>
    <w:p>
      <w:pPr>
        <w:ind w:left="360"/>
      </w:pPr>
      <w:r>
        <w:rPr>
          <w:i/>
        </w:rPr>
        <w:t xml:space="preserve">careers of the stalwart defenders of the Báb’s nascent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 describes the beginning of man, how the seed passes through the generations of the</w:t>
      </w:r>
    </w:p>
    <w:p>
      <w:pPr>
        <w:ind w:left="360"/>
      </w:pPr>
      <w:r>
        <w:rPr>
          <w:i/>
        </w:rPr>
        <w:t xml:space="preserve">forefathers and attains unto the womb of one of God’s handmaidens; how the embryo is formed by</w:t>
      </w:r>
    </w:p>
    <w:p>
      <w:pPr>
        <w:ind w:left="360"/>
      </w:pPr>
      <w:r>
        <w:rPr>
          <w:i/>
        </w:rPr>
        <w:t xml:space="preserve">the loving providence of God and the fetus endowed with a noble and beauteous form. The man is</w:t>
      </w:r>
    </w:p>
    <w:p>
      <w:pPr>
        <w:ind w:left="360"/>
      </w:pPr>
      <w:r>
        <w:rPr>
          <w:i/>
        </w:rPr>
        <w:t xml:space="preserve">born, grows to maturity under the guidance and shelter of God, attains belief in Him and steadfastness</w:t>
      </w:r>
    </w:p>
    <w:p>
      <w:pPr>
        <w:ind w:left="360"/>
      </w:pPr>
      <w:r>
        <w:rPr>
          <w:i/>
        </w:rPr>
        <w:t xml:space="preserve">in His Cause—thereby coming to perfection as a creature of God—and then finally succumbing to the</w:t>
      </w:r>
    </w:p>
    <w:p>
      <w:pPr>
        <w:ind w:left="360"/>
      </w:pPr>
      <w:r>
        <w:rPr>
          <w:i/>
        </w:rPr>
        <w:t xml:space="preserve">assailing tides of entropy and finding his final abode in the womb of the earth, paralleling his</w:t>
      </w:r>
    </w:p>
    <w:p>
      <w:pPr>
        <w:ind w:left="360"/>
      </w:pPr>
      <w:r>
        <w:rPr>
          <w:i/>
        </w:rPr>
        <w:t xml:space="preserve">beginning in the womb of his mother. Bahá’u’lláh assures us that this is all in the design of God and is</w:t>
      </w:r>
    </w:p>
    <w:p>
      <w:pPr>
        <w:ind w:left="360"/>
      </w:pPr>
      <w:r>
        <w:rPr>
          <w:i/>
        </w:rPr>
        <w:t xml:space="preserve">the realization of what He has ordained in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portrays a similar process with a heavenly Tree and a divine House, depicting the most</w:t>
      </w:r>
    </w:p>
    <w:p>
      <w:pPr>
        <w:ind w:left="360"/>
      </w:pPr>
      <w:r>
        <w:rPr>
          <w:i/>
        </w:rPr>
        <w:t xml:space="preserve">sumptuous images of beauty, perfection, and wealth, along with the ultimate decline of the very same.</w:t>
      </w:r>
    </w:p>
    <w:p>
      <w:pPr>
        <w:ind w:left="360"/>
      </w:pPr>
      <w:r>
        <w:rPr>
          <w:i/>
        </w:rPr>
        <w:t xml:space="preserve">The symbolic weight of these allegories should not be overlooked, and it is to be noted that the full</w:t>
      </w:r>
    </w:p>
    <w:p>
      <w:pPr>
        <w:ind w:left="360"/>
      </w:pPr>
      <w:r>
        <w:rPr>
          <w:i/>
        </w:rPr>
        <w:t xml:space="preserve">depth and significance of this Work cannot be encompassed be a short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point the Tablet has assumed the tone of a plaint and lamentation, while expressing</w:t>
      </w:r>
    </w:p>
    <w:p>
      <w:pPr>
        <w:ind w:left="360"/>
      </w:pPr>
      <w:r>
        <w:rPr>
          <w:i/>
        </w:rPr>
        <w:t xml:space="preserve">resignation to God’s decree and immutable judgement; it begins to transition in part seven, however,</w:t>
      </w:r>
    </w:p>
    <w:p>
      <w:pPr>
        <w:ind w:left="360"/>
      </w:pPr>
      <w:r>
        <w:rPr>
          <w:i/>
        </w:rPr>
        <w:t xml:space="preserve">with Bahá’u’lláh’s beseeching God’s forgiveness for all that he had written in lamentation, affirming</w:t>
      </w:r>
    </w:p>
    <w:p>
      <w:pPr>
        <w:ind w:left="360"/>
      </w:pPr>
      <w:r>
        <w:rPr>
          <w:i/>
        </w:rPr>
        <w:t xml:space="preserve">that God never deals unjustly with His servants, but rather ordains for them that which is the best for</w:t>
      </w:r>
    </w:p>
    <w:p>
      <w:pPr>
        <w:ind w:left="360"/>
      </w:pPr>
      <w:r>
        <w:rPr>
          <w:i/>
        </w:rPr>
        <w:t xml:space="preserve">them in accordance with His divine wisdom; for if man never underwent the death of the body, he</w:t>
      </w:r>
    </w:p>
    <w:p>
      <w:pPr>
        <w:ind w:left="360"/>
      </w:pPr>
      <w:r>
        <w:rPr>
          <w:i/>
        </w:rPr>
        <w:t xml:space="preserve">could not obtain true life in the spirit. Bahá’u’lláh exclaims that it is as though He can behold</w:t>
      </w:r>
    </w:p>
    <w:p>
      <w:pPr>
        <w:ind w:left="360"/>
      </w:pPr>
      <w:r>
        <w:rPr>
          <w:i/>
        </w:rPr>
        <w:t xml:space="preserve">Muḥammad Vazír traversing the heavenly realms of God and attaining unto the Beatific Vision, but</w:t>
      </w:r>
    </w:p>
    <w:p>
      <w:pPr>
        <w:ind w:left="360"/>
      </w:pPr>
      <w:r>
        <w:rPr>
          <w:i/>
        </w:rPr>
        <w:t xml:space="preserve">that this reality which is known to Him is veiled from humanity, and so death is a cause of hardship</w:t>
      </w:r>
    </w:p>
    <w:p>
      <w:pPr>
        <w:ind w:left="360"/>
      </w:pPr>
      <w:r>
        <w:rPr>
          <w:i/>
        </w:rPr>
        <w:t xml:space="preserve">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part, we see another transition in Bahá’u’lláh’s narrative, for He then makes mention</w:t>
      </w:r>
    </w:p>
    <w:p>
      <w:pPr>
        <w:ind w:left="360"/>
      </w:pPr>
      <w:r>
        <w:rPr>
          <w:i/>
        </w:rPr>
        <w:t xml:space="preserve">of Havvá, who, her name meaning ‘Eve’, is described as being the namesake of the mother of all</w:t>
      </w:r>
    </w:p>
    <w:p>
      <w:pPr>
        <w:ind w:left="360"/>
      </w:pPr>
      <w:r>
        <w:rPr>
          <w:i/>
        </w:rPr>
        <w:t xml:space="preserve">creation. He then makes mention of Maryam as she whom God singled out from amongst all women,</w:t>
      </w:r>
    </w:p>
    <w:p>
      <w:pPr>
        <w:ind w:left="360"/>
      </w:pPr>
      <w:r>
        <w:rPr>
          <w:i/>
        </w:rPr>
        <w:t xml:space="preserve">insofar as she is named after Mary, the mother of Christ. He recounts, in heart-rending language, their</w:t>
      </w:r>
    </w:p>
    <w:p>
      <w:pPr>
        <w:ind w:left="360"/>
      </w:pPr>
      <w:r>
        <w:rPr>
          <w:i/>
        </w:rPr>
        <w:t xml:space="preserve">suffering which followed the death of Muḥammad Vazír and their lonesomeness in that they were</w:t>
      </w:r>
    </w:p>
    <w:p>
      <w:pPr>
        <w:ind w:left="360"/>
      </w:pPr>
      <w:r>
        <w:rPr>
          <w:i/>
        </w:rPr>
        <w:t xml:space="preserve">bereft of a mother to grieve for them, companions to console them, handmades to care for them and to</w:t>
      </w:r>
    </w:p>
    <w:p>
      <w:pPr>
        <w:ind w:left="360"/>
      </w:pPr>
      <w:r>
        <w:rPr>
          <w:i/>
        </w:rPr>
        <w:t xml:space="preserve">comb their locks which had been disarrayed in grief. Bahá’u’lláh prays for these two women,</w:t>
      </w:r>
    </w:p>
    <w:p>
      <w:pPr>
        <w:ind w:left="360"/>
      </w:pPr>
      <w:r>
        <w:rPr>
          <w:i/>
        </w:rPr>
        <w:t xml:space="preserve">beseeching God to solace and succour them, and closes the Tablet with a final supplication in the</w:t>
      </w:r>
    </w:p>
    <w:p>
      <w:pPr>
        <w:ind w:left="360"/>
      </w:pPr>
      <w:r>
        <w:rPr>
          <w:i/>
        </w:rPr>
        <w:t xml:space="preserve">memory of Muḥammad Vazír.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can well be considered as one among the most moving works of the Baghdad period,</w:t>
      </w:r>
    </w:p>
    <w:p>
      <w:pPr>
        <w:ind w:left="360"/>
      </w:pPr>
      <w:r>
        <w:rPr>
          <w:i/>
        </w:rPr>
        <w:t xml:space="preserve">though previously inaccessible to the West on account of its not being translated into English.</w:t>
      </w:r>
    </w:p>
    <w:p>
      <w:pPr>
        <w:ind w:left="360"/>
      </w:pPr>
      <w:r>
        <w:rPr>
          <w:i/>
        </w:rPr>
        <w:t xml:space="preserve">Bahá’u’lláh Himself translated it from the original Arabic into Persian at the request of some believers.</w:t>
      </w:r>
    </w:p>
    <w:p>
      <w:pPr>
        <w:ind w:left="360"/>
      </w:pPr>
      <w:r>
        <w:rPr>
          <w:i/>
        </w:rPr>
        <w:t xml:space="preserve">This rendering He said was not literal, as that would not “be in accord with sweetness”; it could thus</w:t>
      </w:r>
    </w:p>
    <w:p>
      <w:pPr>
        <w:ind w:left="360"/>
      </w:pPr>
      <w:r>
        <w:rPr>
          <w:i/>
        </w:rPr>
        <w:t xml:space="preserve">be regarded as being revealed anew in the Persian mode. The differences between the two versions are</w:t>
      </w:r>
    </w:p>
    <w:p>
      <w:pPr>
        <w:ind w:left="360"/>
      </w:pPr>
      <w:r>
        <w:rPr>
          <w:i/>
        </w:rPr>
        <w:t xml:space="preserve">often very slight, although there is occasionally new material in the Persian translation, such as an</w:t>
      </w:r>
    </w:p>
    <w:p>
      <w:pPr>
        <w:ind w:left="360"/>
      </w:pPr>
      <w:r>
        <w:rPr>
          <w:i/>
        </w:rPr>
        <w:t xml:space="preserve">address to the people of the Bayán, possibly reflecting the change in audience. The following</w:t>
      </w:r>
    </w:p>
    <w:p>
      <w:pPr>
        <w:ind w:left="360"/>
      </w:pPr>
      <w:r>
        <w:rPr>
          <w:i/>
        </w:rPr>
        <w:t xml:space="preserve">provisional translation is based on the original Arabic text as found in Ad’iyyih-i-Ḥaḍrat-i-Maḥbúb.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 Suffering of the Exalted Letters is often recited at funerals by Bahá’ís of Eastern</w:t>
      </w:r>
    </w:p>
    <w:p>
      <w:pPr>
        <w:ind w:left="360"/>
      </w:pPr>
      <w:r>
        <w:rPr>
          <w:i/>
        </w:rPr>
        <w:t xml:space="preserve">extraction, by virtue of its themes of birth, death, and the very purpose of human life and existence. It</w:t>
      </w:r>
    </w:p>
    <w:p>
      <w:pPr>
        <w:ind w:left="360"/>
      </w:pPr>
      <w:r>
        <w:rPr>
          <w:i/>
        </w:rPr>
        <w:t xml:space="preserve">offers us a narrative illustration of the grieving process, beginning with shock and bereavement, sorrow</w:t>
      </w:r>
    </w:p>
    <w:p>
      <w:pPr>
        <w:ind w:left="360"/>
      </w:pPr>
      <w:r>
        <w:rPr>
          <w:i/>
        </w:rPr>
        <w:t xml:space="preserve">and lamentation, moving to resignation and acquiescence, and finally ending in an understanding of</w:t>
      </w:r>
    </w:p>
    <w:p>
      <w:pPr>
        <w:ind w:left="360"/>
      </w:pPr>
      <w:r>
        <w:rPr>
          <w:i/>
        </w:rPr>
        <w:t xml:space="preserve">death and human purpose as ordained by God. This Tablet is in its essence a meditation authored by</w:t>
      </w:r>
    </w:p>
    <w:p>
      <w:pPr>
        <w:ind w:left="360"/>
      </w:pPr>
      <w:r>
        <w:rPr>
          <w:i/>
        </w:rPr>
        <w:t xml:space="preserve">one of no less a station than a Manifestation of God on the human journey and our ultimate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itself, as expressed earlier in this introduction, resists a brief encapsulation, and its</w:t>
      </w:r>
    </w:p>
    <w:p>
      <w:pPr>
        <w:ind w:left="360"/>
      </w:pPr>
      <w:r>
        <w:rPr>
          <w:i/>
        </w:rPr>
        <w:t xml:space="preserve">richness, depth, and inner significance can perhaps only be opened by the contemplative and prayerful</w:t>
      </w:r>
    </w:p>
    <w:p>
      <w:pPr>
        <w:ind w:left="360"/>
      </w:pPr>
      <w:r>
        <w:rPr>
          <w:i/>
        </w:rPr>
        <w:t xml:space="preserve">heart. It is my hope that the following provisional translation of this sublime example of God’s</w:t>
      </w:r>
    </w:p>
    <w:p>
      <w:pPr>
        <w:ind w:left="360"/>
      </w:pPr>
      <w:r>
        <w:rPr>
          <w:i/>
        </w:rPr>
        <w:t xml:space="preserve">Revelation will lead its readers to a greater appreciation of the Baghdad period in Bahá’u’lláh’s</w:t>
      </w:r>
    </w:p>
    <w:p>
      <w:pPr>
        <w:ind w:left="360"/>
      </w:pPr>
      <w:r>
        <w:rPr>
          <w:i/>
        </w:rPr>
        <w:t xml:space="preserve">ministry, and be a consolation to all those that have suffered the pain of bereavement.</w:t>
      </w:r>
    </w:p>
    <w:p>
      <w:pPr>
        <w:ind w:left="360"/>
      </w:pPr>
      <w:r>
        <w:rPr>
          <w:i/>
        </w:rPr>
        <w:t xml:space="preserve">I would like to express my thanks and gratitude to Adib Masumian for his proofreading of the</w:t>
      </w:r>
    </w:p>
    <w:p>
      <w:pPr>
        <w:ind w:left="360"/>
      </w:pPr>
      <w:r>
        <w:rPr>
          <w:i/>
        </w:rPr>
        <w:t xml:space="preserve">translation against the Arabic text, sometimes including consultation with Bahá’u’lláh’s Persian</w:t>
      </w:r>
    </w:p>
    <w:p>
      <w:pPr>
        <w:ind w:left="360"/>
      </w:pPr>
      <w:r>
        <w:rPr>
          <w:i/>
        </w:rPr>
        <w:t xml:space="preserve">rendering, as well as for his invaluable suggestions which improved the quality of this translation.</w:t>
      </w:r>
    </w:p>
    <w:p>
      <w:pPr>
        <w:ind w:left="360"/>
      </w:pPr>
      <w:r>
        <w:rPr>
          <w:color w:val="555555"/>
          <w:sz w:val="18"/>
        </w:rPr>
        <w:t xml:space="preserve">— Suffering of the Exalted Letters (Used by permission of the curator)</w:t>
      </w:r>
    </w:p>
    <w:p/>
  </w:body>
</w:document>
</file>