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Glad-Tidings: Wilmette Institute faculty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This tablet is not particularly long — a bit over 8 pages — but it is a</w:t>
      </w:r>
    </w:p>
    <w:p>
      <w:pPr>
        <w:ind w:left="360"/>
      </w:pPr>
      <w:r>
        <w:rPr>
          <w:i/>
        </w:rPr>
        <w:t xml:space="preserve">weighty work and a significant supplemental work to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tablets reproduced in Tablets of Bahá'u'lláh Revealed After the</w:t>
      </w:r>
    </w:p>
    <w:p>
      <w:pPr>
        <w:ind w:left="360"/>
      </w:pPr>
      <w:r>
        <w:rPr>
          <w:i/>
        </w:rPr>
        <w:t xml:space="preserve">Kitáb-i-Aqdas have a similar structure: the Bishárát, Tarazat,</w:t>
      </w:r>
    </w:p>
    <w:p>
      <w:pPr>
        <w:ind w:left="360"/>
      </w:pPr>
      <w:r>
        <w:rPr>
          <w:i/>
        </w:rPr>
        <w:t xml:space="preserve">Kalimát-i-Firdawsiyyih, Tajallíyát, and Ishráqát.  The structure consists of</w:t>
      </w:r>
    </w:p>
    <w:p>
      <w:pPr>
        <w:ind w:left="360"/>
      </w:pPr>
      <w:r>
        <w:rPr>
          <w:i/>
        </w:rPr>
        <w:t xml:space="preserve">an introduction, a series of numbered statements on aspects of the Faith,</w:t>
      </w:r>
    </w:p>
    <w:p>
      <w:pPr>
        <w:ind w:left="360"/>
      </w:pPr>
      <w:r>
        <w:rPr>
          <w:i/>
        </w:rPr>
        <w:t xml:space="preserve">and a conclusion.  The Bishárát has by far the shortest introduction of the</w:t>
      </w:r>
    </w:p>
    <w:p>
      <w:pPr>
        <w:ind w:left="360"/>
      </w:pPr>
      <w:r>
        <w:rPr>
          <w:i/>
        </w:rPr>
        <w:t xml:space="preserve">five; just one paragraph (in the Ishráqát the opening material occupies more</w:t>
      </w:r>
    </w:p>
    <w:p>
      <w:pPr>
        <w:ind w:left="360"/>
      </w:pPr>
      <w:r>
        <w:rPr>
          <w:i/>
        </w:rPr>
        <w:t xml:space="preserve">pages than the numbered statements).  In each case the tablet is named for</w:t>
      </w:r>
    </w:p>
    <w:p>
      <w:pPr>
        <w:ind w:left="360"/>
      </w:pPr>
      <w:r>
        <w:rPr>
          <w:i/>
        </w:rPr>
        <w:t xml:space="preserve">the name of the numbered statements; thus the Ishráqát has a series of</w:t>
      </w:r>
    </w:p>
    <w:p>
      <w:pPr>
        <w:ind w:left="360"/>
      </w:pPr>
      <w:r>
        <w:rPr>
          <w:i/>
        </w:rPr>
        <w:t xml:space="preserve">ishraq or splendors (-at is a feminine plural ending in Arabic; ishraq is</w:t>
      </w:r>
    </w:p>
    <w:p>
      <w:pPr>
        <w:ind w:left="360"/>
      </w:pPr>
      <w:r>
        <w:rPr>
          <w:i/>
        </w:rPr>
        <w:t xml:space="preserve">a feminine noun with its plural Ishráqát).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Bishárát, the statements are listed as "glad tidings."  I</w:t>
      </w:r>
    </w:p>
    <w:p>
      <w:pPr>
        <w:ind w:left="360"/>
      </w:pPr>
      <w:r>
        <w:rPr>
          <w:i/>
        </w:rPr>
        <w:t xml:space="preserve">am not sure of this, so I will ask the Persian and Arabic experts: is "glad</w:t>
      </w:r>
    </w:p>
    <w:p>
      <w:pPr>
        <w:ind w:left="360"/>
      </w:pPr>
      <w:r>
        <w:rPr>
          <w:i/>
        </w:rPr>
        <w:t xml:space="preserve">tidings" the way "gospel" is translated into Arabic?  It means good news,</w:t>
      </w:r>
    </w:p>
    <w:p>
      <w:pPr>
        <w:ind w:left="360"/>
      </w:pPr>
      <w:r>
        <w:rPr>
          <w:i/>
        </w:rPr>
        <w:t xml:space="preserve">just as "gospel"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fifteen Glad-Tidings contain extremely important teachings of</w:t>
      </w:r>
    </w:p>
    <w:p>
      <w:pPr>
        <w:ind w:left="360"/>
      </w:pPr>
      <w:r>
        <w:rPr>
          <w:i/>
        </w:rPr>
        <w:t xml:space="preserve">Bahá'u'lláh.  The first abolishes holy war; the second establishes</w:t>
      </w:r>
    </w:p>
    <w:p>
      <w:pPr>
        <w:ind w:left="360"/>
      </w:pPr>
      <w:r>
        <w:rPr>
          <w:i/>
        </w:rPr>
        <w:t xml:space="preserve">interfaith dialogue.  The third supplements the call in the Aqdas for a</w:t>
      </w:r>
    </w:p>
    <w:p>
      <w:pPr>
        <w:ind w:left="360"/>
      </w:pPr>
      <w:r>
        <w:rPr>
          <w:i/>
        </w:rPr>
        <w:t xml:space="preserve">universal auxiliary language.  The sixth calls for the establishment of the</w:t>
      </w:r>
    </w:p>
    <w:p>
      <w:pPr>
        <w:ind w:left="360"/>
      </w:pPr>
      <w:r>
        <w:rPr>
          <w:i/>
        </w:rPr>
        <w:t xml:space="preserve">Lesser Peace (which can also be found in the nineth leaf of the exalted</w:t>
      </w:r>
    </w:p>
    <w:p>
      <w:pPr>
        <w:ind w:left="360"/>
      </w:pPr>
      <w:r>
        <w:rPr>
          <w:i/>
        </w:rPr>
        <w:t xml:space="preserve">paradise, the Lawh-i-Dunyá, and the second ishraq).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add parenthetically that anyone who has the old Bahá'í World Faith</w:t>
      </w:r>
    </w:p>
    <w:p>
      <w:pPr>
        <w:ind w:left="360"/>
      </w:pPr>
      <w:r>
        <w:rPr>
          <w:i/>
        </w:rPr>
        <w:t xml:space="preserve">might want to compare the translation of the sixth Glad-Tidings on page 193</w:t>
      </w:r>
    </w:p>
    <w:p>
      <w:pPr>
        <w:ind w:left="360"/>
      </w:pPr>
      <w:r>
        <w:rPr>
          <w:i/>
        </w:rPr>
        <w:t xml:space="preserve">with the new translation in Tablets of Bahá'u'lláh, page 23.  The old</w:t>
      </w:r>
    </w:p>
    <w:p>
      <w:pPr>
        <w:ind w:left="360"/>
      </w:pPr>
      <w:r>
        <w:rPr>
          <w:i/>
        </w:rPr>
        <w:t xml:space="preserve">translation says "The sixth glad tidings is the Most Great Peace"; the new</w:t>
      </w:r>
    </w:p>
    <w:p>
      <w:pPr>
        <w:ind w:left="360"/>
      </w:pPr>
      <w:r>
        <w:rPr>
          <w:i/>
        </w:rPr>
        <w:t xml:space="preserve">translation says "The Sixth Glad-Tidings is the establishment of the Lesser</w:t>
      </w:r>
    </w:p>
    <w:p>
      <w:pPr>
        <w:ind w:left="360"/>
      </w:pPr>
      <w:r>
        <w:rPr>
          <w:i/>
        </w:rPr>
        <w:t xml:space="preserve">Peace."  Big difference!  A side-by-side translation quickly shows you how</w:t>
      </w:r>
    </w:p>
    <w:p>
      <w:pPr>
        <w:ind w:left="360"/>
      </w:pPr>
      <w:r>
        <w:rPr>
          <w:i/>
        </w:rPr>
        <w:t xml:space="preserve">much better the new translation — done under the auspices of the Universal</w:t>
      </w:r>
    </w:p>
    <w:p>
      <w:pPr>
        <w:ind w:left="360"/>
      </w:pPr>
      <w:r>
        <w:rPr>
          <w:i/>
        </w:rPr>
        <w:t xml:space="preserve">House of Justice and approved by them — is compared to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Glad-Tidings is one of my favorite ones: it includes a prayer for</w:t>
      </w:r>
    </w:p>
    <w:p>
      <w:pPr>
        <w:ind w:left="360"/>
      </w:pPr>
      <w:r>
        <w:rPr>
          <w:i/>
        </w:rPr>
        <w:t xml:space="preserve">forgiveness of one's sins.  This prayer is not in the prayerbook, as far as</w:t>
      </w:r>
    </w:p>
    <w:p>
      <w:pPr>
        <w:ind w:left="360"/>
      </w:pPr>
      <w:r>
        <w:rPr>
          <w:i/>
        </w:rPr>
        <w:t xml:space="preserve">I know. [It is not. - B.Z.]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thirteenth Glad-Tidings is all about the members of the House of</w:t>
      </w:r>
    </w:p>
    <w:p>
      <w:pPr>
        <w:ind w:left="360"/>
      </w:pPr>
      <w:r>
        <w:rPr>
          <w:i/>
        </w:rPr>
        <w:t xml:space="preserve">Justice; again an example where Bahá'u'lláh supplements the Aqdas text.  The</w:t>
      </w:r>
    </w:p>
    <w:p>
      <w:pPr>
        <w:ind w:left="360"/>
      </w:pPr>
      <w:r>
        <w:rPr>
          <w:i/>
        </w:rPr>
        <w:t xml:space="preserve">fifteenth Glad-Tidings is also remarkable; in it Bahá'u'lláh recommends</w:t>
      </w:r>
    </w:p>
    <w:p>
      <w:pPr>
        <w:ind w:left="360"/>
      </w:pPr>
      <w:r>
        <w:rPr>
          <w:i/>
        </w:rPr>
        <w:t xml:space="preserve">essentially the British form of government, with a monarch and a</w:t>
      </w:r>
    </w:p>
    <w:p>
      <w:pPr>
        <w:ind w:left="360"/>
      </w:pPr>
      <w:r>
        <w:rPr>
          <w:i/>
        </w:rPr>
        <w:t xml:space="preserve">democratically elected legislature.  He repeats this in the Lawh-i-Dunyá</w:t>
      </w:r>
    </w:p>
    <w:p>
      <w:pPr>
        <w:ind w:left="360"/>
      </w:pPr>
      <w:r>
        <w:rPr>
          <w:i/>
        </w:rPr>
        <w:t xml:space="preserve">(page 93: "The system of government which the British people have adopted in</w:t>
      </w:r>
    </w:p>
    <w:p>
      <w:pPr>
        <w:ind w:left="360"/>
      </w:pPr>
      <w:r>
        <w:rPr>
          <w:i/>
        </w:rPr>
        <w:t xml:space="preserve">London appears to be good, for it is adorned with the light of both kingship</w:t>
      </w:r>
    </w:p>
    <w:p>
      <w:pPr>
        <w:ind w:left="360"/>
      </w:pPr>
      <w:r>
        <w:rPr>
          <w:i/>
        </w:rPr>
        <w:t xml:space="preserve">and of the consultation of the people").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fifteen Glad-Tidings requires meditation and comparison with</w:t>
      </w:r>
    </w:p>
    <w:p>
      <w:pPr>
        <w:ind w:left="360"/>
      </w:pPr>
      <w:r>
        <w:rPr>
          <w:i/>
        </w:rPr>
        <w:t xml:space="preserve">other tablets.  Read it and enjoy.</w:t>
      </w:r>
    </w:p>
    <w:p>
      <w:pPr>
        <w:ind w:left="360"/>
      </w:pPr>
      <w:r>
        <w:rPr>
          <w:color w:val="555555"/>
          <w:sz w:val="18"/>
        </w:rPr>
        <w:t xml:space="preserve">— Glad-Tidings: Wilmette Institute faculty notes (Used by permission of the curator)</w:t>
      </w:r>
    </w:p>
    <w:p/>
  </w:body>
</w:document>
</file>