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93 - The Brightness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XCIII (93) - The Brightness    (Mecca - 11 Verses             (IV -  25)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noon-day Brightness,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night when it darkeneth!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Thy Lord hath not forsaken thee, neither hath he been displeased.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surely the Future shall be better for thee than the Past,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end shall thy Lord be bounteous to thee and thou be</w:t>
      </w:r>
    </w:p>
    <w:p>
      <w:pPr>
        <w:ind w:left="360"/>
      </w:pPr>
      <w:r>
        <w:rPr>
          <w:i/>
        </w:rPr>
        <w:t xml:space="preserve">satisfied.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Did he not find thee an orphan and gave thee a home?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found thee needy and enriched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orphan therefore wrong him not;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93:10  And as to him that asketh of thee, chide him not away;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the favours of thy Lord tell them abroad.</w:t>
      </w:r>
    </w:p>
    <w:p>
      <w:pPr>
        <w:ind w:left="360"/>
      </w:pPr>
      <w:r>
        <w:rPr>
          <w:color w:val="555555"/>
          <w:sz w:val="18"/>
        </w:rPr>
        <w:t xml:space="preserve">— Sura  93 - The Brightness</w:t>
      </w:r>
    </w:p>
    <w:p/>
  </w:body>
</w:document>
</file>