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Āpattideśanāvidhi</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Āpattideśanāvidhi.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http://gretil.sub.uni-goettingen.de/gretil/corpustei/sa_dIpaMkarazrIjJAna-ApattidezanAvidhi.xml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Ramesh Chandra Negi, Atishavirachita Ekadasa grantha.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Āpattideśanāvidhi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Apattidesanavidhi</w:t>
      </w:r>
    </w:p>
    <w:p>
      <w:pPr>
        <w:ind w:left="360"/>
      </w:pPr>
      <w:r>
        <w:rPr>
          <w:i/>
        </w:rPr>
        <w:t xml:space="preserve">Based on the ed. by Ramesh Chandra Negi, Atishavirachita Ekadasa grantha.</w:t>
      </w:r>
    </w:p>
    <w:p>
      <w:pPr>
        <w:ind w:left="360"/>
      </w:pPr>
      <w:r>
        <w:rPr>
          <w:i/>
        </w:rPr>
        <w:t xml:space="preserve">Sarnath: Central Institute of Higher Tibetan Studies, 1992, 108-109.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āpattideśanāvidhiḥ</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"guravo mahāvajradharādajaḥ, daśadigavasthitāśca sarvabuddhabodhisattvāḥ mām samanvāharantu / bhadanto māṃ samanvāharatu / ahamevaṃnāmā anādisaṃsārāt prabhṛtipratyutpannaparyantaṃ rāga-dveṣa-mohavaśāt kāyavāṅmanasā daśākuśalāni kṛtavān, pañcānantaryāṇi, pañca tatsabhāgāni, prātimokṣasaṃvaravirodhaḥ, bodhisattvaśikṣāvirodhaḥ, guhyamantra-samayādi-virodhaḥ, samāsato 'bhyudaya-niḥśreyasavighnabhūtāḥ, saṃsārāpāyahetubhūtāśca ye ke 'pi āpattidoṣarāśayaḥ (santi) tān sarvān guruvajradharādīnāṃ, daśadigavasthitānāṃ sarvabuddhabodhisattvānāṃ, bhadantasya ca agrato deśayāmi, āviṣkaromi, na praticchādayāmi / āviṣkṛtena mama sparśavihāro bhavati,anāviṣkṛtena evanna bhavatī ti trirvadet /</w:t>
      </w:r>
    </w:p>
    <w:p>
      <w:pPr>
        <w:ind w:left="360"/>
      </w:pPr>
      <w:r>
        <w:rPr>
          <w:i/>
        </w:rPr>
        <w:t xml:space="preserve"/>
      </w:r>
    </w:p>
    <w:p>
      <w:pPr>
        <w:ind w:left="360"/>
      </w:pPr>
      <w:r>
        <w:rPr>
          <w:i/>
        </w:rPr>
        <w:t xml:space="preserve">tato darśana-saṃvara-pṛcchānantaram "upāyaṃ", "sādhu" ceti vadet /</w:t>
      </w:r>
    </w:p>
    <w:p>
      <w:pPr>
        <w:ind w:left="360"/>
      </w:pPr>
      <w:r>
        <w:rPr>
          <w:i/>
        </w:rPr>
        <w:t xml:space="preserve"/>
      </w:r>
    </w:p>
    <w:p>
      <w:pPr>
        <w:ind w:left="360"/>
      </w:pPr>
      <w:r>
        <w:rPr>
          <w:i/>
        </w:rPr>
        <w:t xml:space="preserve">prathamasaṃyojanavidhiḥ- evannāmāhaṃ anādisaṃsārāt prabhṛti kleśabāhulyāt pramādādivaśād vā doṣāpattirāśibahulaḥ, tān saṃghasya agrataḥ pratideṣṭukāmaḥ, ato 'nugṛhyatām iti / ante āpattita uddhṛto 'smītyatīva kṛtajño 'smīti dharmānurupakāryam anumodaye iti vadet /</w:t>
      </w:r>
    </w:p>
    <w:p>
      <w:pPr>
        <w:ind w:left="360"/>
      </w:pPr>
      <w:r>
        <w:rPr>
          <w:i/>
        </w:rPr>
        <w:t xml:space="preserve"/>
      </w:r>
    </w:p>
    <w:p>
      <w:pPr>
        <w:ind w:left="360"/>
      </w:pPr>
      <w:r>
        <w:rPr>
          <w:i/>
        </w:rPr>
        <w:t xml:space="preserve">"āpattideśanāvidhiḥ ācāryadīpaṅkaraśrījñānaviracitaḥ samāptaḥ /</w:t>
      </w:r>
    </w:p>
    <w:p>
      <w:pPr>
        <w:ind w:left="360"/>
      </w:pPr>
      <w:r>
        <w:rPr>
          <w:i/>
        </w:rPr>
        <w:t xml:space="preserve"/>
      </w:r>
    </w:p>
    <w:p>
      <w:pPr>
        <w:ind w:left="360"/>
      </w:pPr>
      <w:r>
        <w:rPr>
          <w:i/>
        </w:rPr>
        <w:t xml:space="preserve">tenaiva bhāratīyopādhyāyena bhoṭīyalokacakṣuṣā bhikṣu-jayaśīlena ca anūdya nirṇītaḥ /</w:t>
      </w:r>
    </w:p>
    <w:p>
      <w:pPr>
        <w:ind w:left="360"/>
      </w:pPr>
      <w:r>
        <w:rPr>
          <w:color w:val="555555"/>
          <w:sz w:val="18"/>
        </w:rPr>
        <w:t xml:space="preserve">— Dīpaṃkaraśrījñāna [= Atīśa]: Āpattideśanāvidhi (Academic edition — see source file header)</w:t>
      </w:r>
    </w:p>
    <w:p/>
  </w:body>
</w:document>
</file>