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Gaṇapatihṛdaydhāraṇī</w:t>
      </w:r>
    </w:p>
    <w:p>
      <w:r>
        <w:rPr>
          <w:color w:val="555555"/>
          <w:sz w:val="20"/>
        </w:rPr>
        <w:t xml:space="preserve">Exported from Holy-Writings.com on 2026-06-20 - 1 clipping</w:t>
      </w:r>
    </w:p>
    <w:p>
      <w:pPr>
        <w:ind w:left="360"/>
      </w:pPr>
      <w:r>
        <w:rPr>
          <w:i/>
        </w:rPr>
        <w:t xml:space="preserve">Source: GRETIL (gretil.sub.uni-goettingen.de) — Sanskrit academic edition. Title: Gaṇapatihṛdaydhāraṇī.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http://gretil.sub.uni-goettingen.de/gretil/corpustei/sa_gaNapatihRdaydhAraNI.xml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10-12.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Gaṇapatihṛdaydhāraṇī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ganphrdu.htm.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Ganapatihrdaya-Dharani</w:t>
      </w:r>
    </w:p>
    <w:p>
      <w:pPr>
        <w:ind w:left="360"/>
      </w:pPr>
      <w:r>
        <w:rPr>
          <w:i/>
        </w:rPr>
        <w:t xml:space="preserve">Based on the edition by Yutaka Iwamoto: Kleinere Dhāraṇī Texte, Kyoto 1937</w:t>
      </w:r>
    </w:p>
    <w:p>
      <w:pPr>
        <w:ind w:left="360"/>
      </w:pPr>
      <w:r>
        <w:rPr>
          <w:i/>
        </w:rPr>
        <w:t xml:space="preserve">(Beiträge zur Indologie, 2), pp. 10-12.</w:t>
      </w:r>
    </w:p>
    <w:p>
      <w:pPr>
        <w:ind w:left="360"/>
      </w:pPr>
      <w:r>
        <w:rPr>
          <w:i/>
        </w:rPr>
        <w:t xml:space="preserve">[Note the translation by R. Duquenne, "Gaṇapati Rituals in Chinese", BEFEO 77 (1988), pp. 344f.]</w:t>
      </w:r>
    </w:p>
    <w:p>
      <w:pPr>
        <w:ind w:left="360"/>
      </w:pPr>
      <w:r>
        <w:rPr>
          <w:i/>
        </w:rPr>
        <w:t xml:space="preserve">Input by Klaus Wille (Göttingen)</w:t>
      </w:r>
    </w:p>
    <w:p>
      <w:pPr>
        <w:ind w:left="360"/>
      </w:pPr>
      <w:r>
        <w:rPr>
          <w:i/>
        </w:rPr>
        <w:t xml:space="preserve">STRUCTURE OF REFERENCES</w:t>
      </w:r>
    </w:p>
    <w:p>
      <w:pPr>
        <w:ind w:left="360"/>
      </w:pPr>
      <w:r>
        <w:rPr>
          <w:i/>
        </w:rPr>
        <w:t xml:space="preserve">Gph_n = pagination of Iwamoto's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(gph_10)</w:t>
      </w:r>
    </w:p>
    <w:p>
      <w:pPr>
        <w:ind w:left="360"/>
      </w:pPr>
      <w:r>
        <w:rPr>
          <w:i/>
        </w:rPr>
        <w:t xml:space="preserve"/>
      </w:r>
    </w:p>
    <w:p>
      <w:pPr>
        <w:ind w:left="360"/>
      </w:pPr>
      <w:r>
        <w:rPr>
          <w:i/>
        </w:rPr>
        <w:t xml:space="preserve">namo bhagavate āryamahāgaṇapatihṛdayāya / namo ratnatrayāya //</w:t>
      </w:r>
    </w:p>
    <w:p>
      <w:pPr>
        <w:ind w:left="360"/>
      </w:pPr>
      <w:r>
        <w:rPr>
          <w:i/>
        </w:rPr>
        <w:t xml:space="preserve"/>
      </w:r>
    </w:p>
    <w:p>
      <w:pPr>
        <w:ind w:left="360"/>
      </w:pPr>
      <w:r>
        <w:rPr>
          <w:i/>
        </w:rPr>
        <w:t xml:space="preserve">evaṃ mayā śrutam ekasmin samaye bhagavān rājagṛhe viharati sma / gṛdhrakūṭaparvate mahatā bhikṣusaṃghena sārdham ardhatrayodaśabhir bhikṣuśataiḥ saṃbahulaiś ca bodhisatvair mahāsatvaiḥ / tena khalu punaḥ samayena bhagavān āyuṣmantam ānandam āmantrayate sma //</w:t>
      </w:r>
    </w:p>
    <w:p>
      <w:pPr>
        <w:ind w:left="360"/>
      </w:pPr>
      <w:r>
        <w:rPr>
          <w:i/>
        </w:rPr>
        <w:t xml:space="preserve"/>
      </w:r>
    </w:p>
    <w:p>
      <w:pPr>
        <w:ind w:left="360"/>
      </w:pPr>
      <w:r>
        <w:rPr>
          <w:i/>
        </w:rPr>
        <w:t xml:space="preserve">yaḥ kaścit kulaputra ānanda imāni gaṇapatihṛdayāni dhārayiṣyati vācayiṣyati paryavāpsyati pravartayiṣyati tasya sarvāṇi kāryasiddhāni bhaviṣyanti //</w:t>
      </w:r>
    </w:p>
    <w:p>
      <w:pPr>
        <w:ind w:left="360"/>
      </w:pPr>
      <w:r>
        <w:rPr>
          <w:i/>
        </w:rPr>
        <w:t xml:space="preserve"/>
      </w:r>
    </w:p>
    <w:p>
      <w:pPr>
        <w:ind w:left="360"/>
      </w:pPr>
      <w:r>
        <w:rPr>
          <w:i/>
        </w:rPr>
        <w:t xml:space="preserve">oṃ namo 'stu te mahāgaṇapataye svāhā / oṃ gaḥ gaḥ gaḥ gaḥ gaḥ gaḥ gaḥ gaḥ / oṃ namo gaṇapataye svāhā / oṃ gaṇādhipataye svāhā / oṃ gaṇeśvarāya svāhā / oṃ gaṇapatipūjitāya svāhā / oṃ kaṭa kaṭa maṭa maṭa dara dara vidara vidara hana hana gṛhṇa gṛhṇa dhāva dhāva bhañja bhañja jambha jambha tambha (gph_11) tambha stambha stambha moha moha deha deha dadāpaya dadāpaya dhanasiddhi me prayaccha / oṃ rudrāvatārāya svāhā / oṃ adbhutavindukṣubhitacittamahāhāsam āgacchati / mahābhayamahābalaparākramāya mahāhastidakṣiṇāya dadāpaya svāhā / oṃ namo 'stu te mahāgaṇapataye svāhā / oṃ gaḥ gaḥ gaḥ gaḥ gaḥ gaḥ gaḥ gaḥ / oṃ namo gaṇapataye svāhā / oṃ gaṇeśvarāya svāhā / oṃ gaṇādhipataye svāhā / oṃ gaṇapatipūjitāya svāha / oṃ suru suru svāhā / oṃ turu turu svāhā / oṃ muru muru svāhā /</w:t>
      </w:r>
    </w:p>
    <w:p>
      <w:pPr>
        <w:ind w:left="360"/>
      </w:pPr>
      <w:r>
        <w:rPr>
          <w:i/>
        </w:rPr>
        <w:t xml:space="preserve"/>
      </w:r>
    </w:p>
    <w:p>
      <w:pPr>
        <w:ind w:left="360"/>
      </w:pPr>
      <w:r>
        <w:rPr>
          <w:i/>
        </w:rPr>
        <w:t xml:space="preserve">idam ānanda gaṇapatihṛdayāni //</w:t>
      </w:r>
    </w:p>
    <w:p>
      <w:pPr>
        <w:ind w:left="360"/>
      </w:pPr>
      <w:r>
        <w:rPr>
          <w:i/>
        </w:rPr>
        <w:t xml:space="preserve"/>
      </w:r>
    </w:p>
    <w:p>
      <w:pPr>
        <w:ind w:left="360"/>
      </w:pPr>
      <w:r>
        <w:rPr>
          <w:i/>
        </w:rPr>
        <w:t xml:space="preserve">yaḥ kaścit kulaputro vā kuladuhitā vā bhikṣur vā bhikṣuṇī vā upāsako vā upāsikā vā / yaḥ kaścit kāryam ālabhate mantrasādhanaṃ vā triratnapūjaṃ vā deśāntaragamanaṃ vā rājakulagamanaṃ vā antardhānaṃ vā tena buddhabhagavatāṃ pūjāṃ kṛtvā āryagaṇapatihṛdayaṃ saptavārānucārayitavyaṃ sarvakāryāṇi tasya sidhyante nātra śaṃsayaḥ / sarvakalikalahamardamātsareṣu nityaṃ śamatavyaṃ sarvapraśamaṃ gacchati / dinedine kalpam utthāya sarvasaptavārānucārayitavyaṃ mahāsaubhāge bhaviṣyati / (gph_12) rājakulagamanakāle mahāprāsādo bhaviṣyanti / śrutidharo bhaviṣyati / na cāsya kāye mahāvyādhayo bhaviṣyanti / na kaścid eva tārapradakṣiṇo 'vatāraṃ lapsyate bhṛṅgo 'vatāraṃ lapsyati na cāsya bodhicittottarāyā bhaviṣyanti / jātau jātau jātismaro bhaviṣyati //</w:t>
      </w:r>
    </w:p>
    <w:p>
      <w:pPr>
        <w:ind w:left="360"/>
      </w:pPr>
      <w:r>
        <w:rPr>
          <w:i/>
        </w:rPr>
        <w:t xml:space="preserve"/>
      </w:r>
    </w:p>
    <w:p>
      <w:pPr>
        <w:ind w:left="360"/>
      </w:pPr>
      <w:r>
        <w:rPr>
          <w:i/>
        </w:rPr>
        <w:t xml:space="preserve">idam avocat bhagavān āttamanās te ca bhikṣavas te bodhisatvā mahāsatvāḥ sā ca sarvāvatī parṣat sadevamānuṣāsuragaruḍagandharvaś ca loko bhagavato bhāṣitam abhyanandann iti //</w:t>
      </w:r>
    </w:p>
    <w:p>
      <w:pPr>
        <w:ind w:left="360"/>
      </w:pPr>
      <w:r>
        <w:rPr>
          <w:i/>
        </w:rPr>
        <w:t xml:space="preserve"/>
      </w:r>
    </w:p>
    <w:p>
      <w:pPr>
        <w:ind w:left="360"/>
      </w:pPr>
      <w:r>
        <w:rPr>
          <w:i/>
        </w:rPr>
        <w:t xml:space="preserve">āryamahāgaṇapatihṛdayaṃ samāptam //</w:t>
      </w:r>
    </w:p>
    <w:p>
      <w:pPr>
        <w:ind w:left="360"/>
      </w:pPr>
      <w:r>
        <w:rPr>
          <w:color w:val="555555"/>
          <w:sz w:val="18"/>
        </w:rPr>
        <w:t xml:space="preserve">— Gaṇapatihṛdaydhāraṇī (Academic edition — see source file header)</w:t>
      </w:r>
    </w:p>
    <w:p/>
  </w:body>
</w:document>
</file>