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雜阿含經 (三三)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「色非是我。 若色是我者，不應於色病苦生，亦不應於色欲： 『令如是，不令如是。』 以色無我故，於色有病有苦生，亦得於色欲： 『令如是，不令如是。』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「比丘，於意云何？ 色爲是常，爲無常耶？」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「無常，世尊。」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「比丘，若無常者，是苦，不？」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「是苦，世尊。」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「若無常、苦，是變易法。 多聞聖弟子於中寧見有我、異我、相在，不？」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「不也，世尊。」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「受、想、行、識亦復如是。 是故，比丘，諸所有色，若過去、若未來、若現在，若内、若外，若麁、若細，若好、若醜，若遠、若近，彼一切非我、不異我、不相在。 如是觀察。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「比丘，多聞聖弟子於此五受陰非我、非我所如實觀察。 如實觀察已，於諸世間都無所取。 無所取故，無所著。 無所著故，自覺涅槃：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SA33 — Taisho Tipitaka (CC0-1.0)</w:t>
      </w:r>
    </w:p>
    <w:p/>
  </w:body>
</w:document>
</file>