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雜阿含經 (三四)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一時，佛住波羅㮈國，仙人住處，鹿野苑中。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爾時，世尊告餘五比丘： 「色非有我。 若色有我者，於色不應病苦生，亦不得於色欲： 『令如是，不令如是。』 以色無我故。於色有病有苦生。亦得於色欲： 『令如是，不令如是。』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「比丘，於意云何？ 色爲是常，爲無常耶？」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「無常，世尊。」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「比丘，若無常者，是苦耶？」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「是苦，世尊。」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「比丘，若無常、苦，是變易法。 多聞聖弟子寧於中見是我、異我、相在，不？」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「不也，世尊。」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「受、想、行、識亦復如是。 是故，比丘，諸所有色，若過去、若未來、若現在，若内、若外，若麁、若細，若好、若醜，若遠、若近，彼一切非我、非我所如實觀察。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「比丘，多聞聖弟子於此五受陰見非我、非我所。 如是觀察，於諸世間都無所取。 無所取故，無所著。 無所著故，自覺涅槃：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佛説此經已，餘五比丘不起諸漏，心得解脱。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SA34 — Taisho Tipitaka (CC0-1.0)</w:t>
      </w:r>
    </w:p>
    <w:p/>
  </w:body>
</w:document>
</file>