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(四)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「於色不知、不明、不斷、不離欲貪，心不解脱者，則不能越生、老、病、死怖。 如是，受⋯想⋯行⋯識不知、不明、不斷、不離欲貪，心不解脱者，則不能越生、老、病、死怖。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「比丘，於色若知、若明、若斷、若離欲貪，心解脱者，則能越生、老、病、死怖。 如是，受⋯想⋯行⋯識若知、若明、若斷、若離欲貪，心解脱者，則能越生、老、病、死怖。」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SA4 — Taisho Tipitaka (CC0-1.0)</w:t>
      </w:r>
    </w:p>
    <w:p/>
  </w:body>
</w:document>
</file>