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14 Das zweite Buch der Chronik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14 Das zweite Buch der Chronik</w:t>
      </w:r>
    </w:p>
    <w:p/>
  </w:body>
</w:document>
</file>