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 Der Prophet Zefanja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36 Der Prophet Zefanja</w:t>
      </w:r>
    </w:p>
    <w:p/>
  </w:body>
</w:document>
</file>