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 Der Prophet Maleachi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39 Der Prophet Maleachi</w:t>
      </w:r>
    </w:p>
    <w:p/>
  </w:body>
</w:document>
</file>