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well-</w:t>
      </w:r>
    </w:p>
    <w:p>
      <w:pPr>
        <w:ind w:left="360"/>
      </w:pPr>
      <w:r>
        <w:rPr>
          <w:i/>
        </w:rPr>
        <w:t xml:space="preserve">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