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Love..txt</w:t>
      </w:r>
    </w:p>
    <w:p>
      <w:r>
        <w:rPr>
          <w:color w:val="555555"/>
          <w:sz w:val="20"/>
        </w:rPr>
        <w:t xml:space="preserve">Exported from Holy-Writings.com on 2026-06-19 - 1 clipping</w:t>
      </w:r>
    </w:p>
    <w:p>
      <w:pPr>
        <w:ind w:left="360"/>
      </w:pPr>
      <w:r>
        <w:rPr>
          <w:i/>
        </w:rPr>
        <w:t xml:space="preserve">Archive Textbase á (Compilation) á Love..txt</w:t>
      </w:r>
    </w:p>
    <w:p>
      <w:pPr>
        <w:ind w:left="360"/>
      </w:pPr>
      <w:r>
        <w:rPr>
          <w:i/>
        </w:rPr>
        <w:t xml:space="preserve"/>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Love..txt (Personal study archive — used by tacit community permission)</w:t>
      </w:r>
    </w:p>
    <w:p/>
  </w:body>
</w:document>
</file>