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Description of the Kitab-i-Aqdas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Shoghi Effendi, A Description of the Kitab-i-Aqdas, bahai-library.com.</w:t>
      </w:r>
    </w:p>
    <w:p>
      <w:pPr>
        <w:ind w:left="360"/>
      </w:pPr>
      <w:r>
        <w:rPr>
          <w:i/>
        </w:rPr>
        <w:t xml:space="preserve">──────────────────────────────────────────────────────────────────────</w:t>
      </w:r>
    </w:p>
    <w:p>
      <w:pPr>
        <w:ind w:left="360"/>
      </w:pPr>
      <w:r>
        <w:rPr>
          <w:i/>
        </w:rPr>
        <w:t xml:space="preserve"/>
      </w:r>
    </w:p>
    <w:p>
      <w:pPr>
        <w:ind w:left="360"/>
      </w:pPr>
      <w:r>
        <w:rPr>
          <w:i/>
        </w:rPr>
        <w:t xml:space="preserve">A Description of the Kitáb-i-Aqdas</w:t>
      </w:r>
    </w:p>
    <w:p>
      <w:pPr>
        <w:ind w:left="360"/>
      </w:pPr>
      <w:r>
        <w:rPr>
          <w:i/>
        </w:rPr>
        <w:t xml:space="preserve"/>
      </w:r>
    </w:p>
    <w:p>
      <w:pPr>
        <w:ind w:left="360"/>
      </w:pPr>
      <w:r>
        <w:rPr>
          <w:i/>
        </w:rPr>
        <w:t xml:space="preserve">Shoghi Effendi</w:t>
      </w:r>
    </w:p>
    <w:p>
      <w:pPr>
        <w:ind w:left="360"/>
      </w:pPr>
      <w:r>
        <w:rPr>
          <w:i/>
        </w:rPr>
        <w:t xml:space="preserve">published in God Passes By pp. 213-216</w:t>
      </w:r>
    </w:p>
    <w:p>
      <w:pPr>
        <w:ind w:left="360"/>
      </w:pPr>
      <w:r>
        <w:rPr>
          <w:i/>
        </w:rPr>
        <w:t xml:space="preserve"/>
      </w:r>
    </w:p>
    <w:p>
      <w:pPr>
        <w:ind w:left="360"/>
      </w:pPr>
      <w:r>
        <w:rPr>
          <w:i/>
        </w:rPr>
        <w:t xml:space="preserve">1944</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Kitáb-i-Aqdas. Alluded to in the Kitáb-i-Íqán,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Bahá’u’lláh, as the Mother Book of His Dispensation, and the Charter of His New World Order.</w:t>
      </w:r>
    </w:p>
    <w:p>
      <w:pPr>
        <w:ind w:left="360"/>
      </w:pPr>
      <w:r>
        <w:rPr>
          <w:i/>
        </w:rPr>
        <w:t xml:space="preserve"/>
      </w:r>
    </w:p>
    <w:p>
      <w:pPr>
        <w:ind w:left="360"/>
      </w:pPr>
      <w:r>
        <w:rPr>
          <w:i/>
        </w:rPr>
        <w:t xml:space="preserve">Revealed soon after Bahá’u’lláh had been transferred to the house of ‘Údí Khammár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Qur’án which, though explicit in the laws and ordinances formulated by the Apostle of God, is silent on the all-important subject of the succession, the Kitáb-i-Aqdas,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w:r>
    </w:p>
    <w:p>
      <w:pPr>
        <w:ind w:left="360"/>
      </w:pPr>
      <w:r>
        <w:rPr>
          <w:i/>
        </w:rPr>
        <w:t xml:space="preserve">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Ḥuqúqu’lláh (Right of God); formulates the law of inheritance; ordains the institution of the Mashriqu’l-Adhkár; establishes the Nineteen Day Feast, the Bahá’í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Bahá’u’lláh exhorts His followers to consort, with amity and concord and without discrimination, with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Khurásán” will be raised in glorification of their Lord; His assertion that men “endued with mighty valor” will be raised up in Kirmán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Bahá’u’lláh,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savor of His garment,” 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 By My life! It hath been sent down in a manner that amazeth the minds of men. Verily, it is My weightiest testimony unto all people, and the proof of the All-Merciful unto all who are in heaven and all who are on earth.” And again: “Blessed the palate that savoreth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Views620 views since posted 2026-01-12; last edit 2026-01-12 07:45 UTC;</w:t>
      </w:r>
    </w:p>
    <w:p>
      <w:pPr>
        <w:ind w:left="360"/>
      </w:pPr>
      <w:r>
        <w:rPr>
          <w:i/>
        </w:rPr>
        <w:t xml:space="preserve"/>
      </w:r>
    </w:p>
    <w:p>
      <w:pPr>
        <w:ind w:left="360"/>
      </w:pPr>
      <w:r>
        <w:rPr>
          <w:i/>
        </w:rPr>
        <w:t xml:space="preserve">previous at archive.org.../shoghi-effendi_description_kitab_aqdas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bahai-library.com/7178</w:t>
      </w:r>
    </w:p>
    <w:p>
      <w:pPr>
        <w:ind w:left="360"/>
      </w:pPr>
      <w:r>
        <w:rPr>
          <w:i/>
        </w:rPr>
        <w:t xml:space="preserve">Citation: ris/7178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Description of the Kitab-i-Aqdas (Used by permission of the curator)</w:t>
      </w:r>
    </w:p>
    <w:p/>
  </w:body>
</w:document>
</file>