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Rashn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12 — L.H. Mills / James Darmesteter (1880-1887) (Public domain (Sacred Books of the East, 1880-1887))</w:t>
      </w:r>
    </w:p>
    <w:p/>
  </w:body>
</w:document>
</file>