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 translitteration baha'ie: pourquoi, comment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Pierre Daoust, La translitteration baha'ie: pourquoi, comment,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translittération bahá’íe :</w:t>
      </w:r>
    </w:p>
    <w:p>
      <w:pPr>
        <w:ind w:left="360"/>
      </w:pPr>
      <w:r>
        <w:rPr>
          <w:i/>
        </w:rPr>
        <w:t xml:space="preserve">pourquoi, comment.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Pierre Daoust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2023 – 180 E.B.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pourquoi</w:t>
      </w:r>
    </w:p>
    <w:p>
      <w:pPr>
        <w:ind w:left="360"/>
      </w:pPr>
      <w:r>
        <w:rPr>
          <w:i/>
        </w:rPr>
        <w:t xml:space="preserve">Il faut d'abord savoir que le persan est une langue indo-européenne et</w:t>
      </w:r>
    </w:p>
    <w:p>
      <w:pPr>
        <w:ind w:left="360"/>
      </w:pPr>
      <w:r>
        <w:rPr>
          <w:i/>
        </w:rPr>
        <w:t xml:space="preserve">que l'arabe est une langue sémitique ; leur prononciation des mots</w:t>
      </w:r>
    </w:p>
    <w:p>
      <w:pPr>
        <w:ind w:left="360"/>
      </w:pPr>
      <w:r>
        <w:rPr>
          <w:i/>
        </w:rPr>
        <w:t xml:space="preserve">arabes est donc différent et leur alphabet est légèrement différent aussi.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Leur translittération en caractères inspirés de l'alphabet latin peut donc</w:t>
      </w:r>
    </w:p>
    <w:p>
      <w:pPr>
        <w:ind w:left="360"/>
      </w:pPr>
      <w:r>
        <w:rPr>
          <w:i/>
        </w:rPr>
        <w:t xml:space="preserve">varier, d'autant plus que le persan ou l'arabe sont prononcés</w:t>
      </w:r>
    </w:p>
    <w:p>
      <w:pPr>
        <w:ind w:left="360"/>
      </w:pPr>
      <w:r>
        <w:rPr>
          <w:i/>
        </w:rPr>
        <w:t xml:space="preserve">différemment selon les régions.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L'objectif premier de la translittération est qu'un arabe qui la lit sache</w:t>
      </w:r>
    </w:p>
    <w:p>
      <w:pPr>
        <w:ind w:left="360"/>
      </w:pPr>
      <w:r>
        <w:rPr>
          <w:i/>
        </w:rPr>
        <w:t xml:space="preserve">directement à quel mot cela se réfère dans l'écriture arabe. Le deuxième</w:t>
      </w:r>
    </w:p>
    <w:p>
      <w:pPr>
        <w:ind w:left="360"/>
      </w:pPr>
      <w:r>
        <w:rPr>
          <w:i/>
        </w:rPr>
        <w:t xml:space="preserve">objectif est que ceux qui ne sont pas arabophones puissent prononcer les</w:t>
      </w:r>
    </w:p>
    <w:p>
      <w:pPr>
        <w:ind w:left="360"/>
      </w:pPr>
      <w:r>
        <w:rPr>
          <w:i/>
        </w:rPr>
        <w:t xml:space="preserve">mots arabes en s'approchant aussi près que possible de la prononciation</w:t>
      </w:r>
    </w:p>
    <w:p>
      <w:pPr>
        <w:ind w:left="360"/>
      </w:pPr>
      <w:r>
        <w:rPr>
          <w:i/>
        </w:rPr>
        <w:t xml:space="preserve">arabe, et puissent donc être compris par un arabophone.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Plusieurs systèmes de translittération ont donc été proposés, et Shoghi</w:t>
      </w:r>
    </w:p>
    <w:p>
      <w:pPr>
        <w:ind w:left="360"/>
      </w:pPr>
      <w:r>
        <w:rPr>
          <w:i/>
        </w:rPr>
        <w:t xml:space="preserve">Effendi, d'origine persane, créa un système « bahá'í » basé sur le</w:t>
      </w:r>
    </w:p>
    <w:p>
      <w:pPr>
        <w:ind w:left="360"/>
      </w:pPr>
      <w:r>
        <w:rPr>
          <w:i/>
        </w:rPr>
        <w:t xml:space="preserve">Dixième Congrès International des Orientalistes tenu à Genève en</w:t>
      </w:r>
    </w:p>
    <w:p>
      <w:pPr>
        <w:ind w:left="360"/>
      </w:pPr>
      <w:r>
        <w:rPr>
          <w:i/>
        </w:rPr>
        <w:t xml:space="preserve">septembre 1894, en y apportant quelques modifications. Il instaura ce</w:t>
      </w:r>
    </w:p>
    <w:p>
      <w:pPr>
        <w:ind w:left="360"/>
      </w:pPr>
      <w:r>
        <w:rPr>
          <w:i/>
        </w:rPr>
        <w:t xml:space="preserve">système pour les publications bahá'íes dans une lettre aux Bahá'ís</w:t>
      </w:r>
    </w:p>
    <w:p>
      <w:pPr>
        <w:ind w:left="360"/>
      </w:pPr>
      <w:r>
        <w:rPr>
          <w:i/>
        </w:rPr>
        <w:t xml:space="preserve">d'Amérique datée du 12 mars 1923, dont les détails apparaissent dans le</w:t>
      </w:r>
    </w:p>
    <w:p>
      <w:pPr>
        <w:ind w:left="360"/>
      </w:pPr>
      <w:r>
        <w:rPr>
          <w:i/>
        </w:rPr>
        <w:t xml:space="preserve">Bahá'í World vol. 2, pp. 213-14. (voir annexe).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remarquer : l'arabe ne comporte ni majuscules ni ponctuation.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translittération est également une sorte de règle imposée par</w:t>
      </w:r>
    </w:p>
    <w:p>
      <w:pPr>
        <w:ind w:left="360"/>
      </w:pPr>
      <w:r>
        <w:rPr>
          <w:i/>
        </w:rPr>
        <w:t xml:space="preserve">Shoghi Effendi et il y consacrait beaucoup de temps et d'effort. Ce récit</w:t>
      </w:r>
    </w:p>
    <w:p>
      <w:pPr>
        <w:ind w:left="360"/>
      </w:pPr>
      <w:r>
        <w:rPr>
          <w:i/>
        </w:rPr>
        <w:t xml:space="preserve">fait par Amatu’l-Bahá le démontre parfaitement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“Quand les bahá'ís allaient en pèlerinage en Terre sainte, ils</w:t>
      </w:r>
    </w:p>
    <w:p>
      <w:pPr>
        <w:ind w:left="360"/>
      </w:pPr>
      <w:r>
        <w:rPr>
          <w:i/>
        </w:rPr>
        <w:t xml:space="preserve">apportaient souvent des cadeaux pour la famille de ‘Abdu’l-Bahá.</w:t>
      </w:r>
    </w:p>
    <w:p>
      <w:pPr>
        <w:ind w:left="360"/>
      </w:pPr>
      <w:r>
        <w:rPr>
          <w:i/>
        </w:rPr>
        <w:t xml:space="preserve">‘Abdu’l-Bahá ne permettait pas que la famille garde la plupart de ces</w:t>
      </w:r>
    </w:p>
    <w:p>
      <w:pPr>
        <w:ind w:left="360"/>
      </w:pPr>
      <w:r>
        <w:rPr>
          <w:i/>
        </w:rPr>
        <w:t xml:space="preserve">cadeaux – parfois des vêtements, des bijoux, des meubles. Un des</w:t>
      </w:r>
    </w:p>
    <w:p>
      <w:pPr>
        <w:ind w:left="360"/>
      </w:pPr>
      <w:r>
        <w:rPr>
          <w:i/>
        </w:rPr>
        <w:t xml:space="preserve">cadeaux qu'il a acceptés fut apporté par William Rendall, - le présent</w:t>
      </w:r>
    </w:p>
    <w:p>
      <w:pPr>
        <w:ind w:left="360"/>
      </w:pPr>
      <w:r>
        <w:rPr>
          <w:i/>
        </w:rPr>
        <w:t xml:space="preserve">d'une machine à écrire portable. Et avec cette machine, Shoghi Effendi a</w:t>
      </w:r>
    </w:p>
    <w:p>
      <w:pPr>
        <w:ind w:left="360"/>
      </w:pPr>
      <w:r>
        <w:rPr>
          <w:i/>
        </w:rPr>
        <w:t xml:space="preserve">tapé ses traductions de la correspondance adressée par le Maître aux</w:t>
      </w:r>
    </w:p>
    <w:p>
      <w:pPr>
        <w:ind w:left="360"/>
      </w:pPr>
      <w:r>
        <w:rPr>
          <w:i/>
        </w:rPr>
        <w:t xml:space="preserve">bahá'ís de l'ouest.</w:t>
      </w:r>
    </w:p>
    <w:p>
      <w:pPr>
        <w:ind w:left="360"/>
      </w:pPr>
      <w:r>
        <w:rPr>
          <w:i/>
        </w:rPr>
        <w:t xml:space="preserve">C'est sur cette machine que Shoghi Effendi a tapé toutes ses lettres</w:t>
      </w:r>
    </w:p>
    <w:p>
      <w:pPr>
        <w:ind w:left="360"/>
      </w:pPr>
      <w:r>
        <w:rPr>
          <w:i/>
        </w:rPr>
        <w:t xml:space="preserve">aux bahá'ís de l'ouest. Toutes les longues lettres de "Bahá'í</w:t>
      </w:r>
    </w:p>
    <w:p>
      <w:pPr>
        <w:ind w:left="360"/>
      </w:pPr>
      <w:r>
        <w:rPr>
          <w:i/>
        </w:rPr>
        <w:t xml:space="preserve">Administration" et de "Citadel of Faith", tous les manuscrits de ses</w:t>
      </w:r>
    </w:p>
    <w:p>
      <w:pPr>
        <w:ind w:left="360"/>
      </w:pPr>
      <w:r>
        <w:rPr>
          <w:i/>
        </w:rPr>
        <w:t xml:space="preserve">traductions des Écrits de Bahá’u’lláh – les Extraits des Écrits, le Livre</w:t>
      </w:r>
    </w:p>
    <w:p>
      <w:pPr>
        <w:ind w:left="360"/>
      </w:pPr>
      <w:r>
        <w:rPr>
          <w:i/>
        </w:rPr>
        <w:t xml:space="preserve">de la Certitude, les Prières et Méditations, aussi bien que ses manuscrits</w:t>
      </w:r>
    </w:p>
    <w:p>
      <w:pPr>
        <w:ind w:left="360"/>
      </w:pPr>
      <w:r>
        <w:rPr>
          <w:i/>
        </w:rPr>
        <w:t xml:space="preserve">"The Dawn-Breakers", et "Dieu Passe près de Nous", tous ont été tapés</w:t>
      </w:r>
    </w:p>
    <w:p>
      <w:pPr>
        <w:ind w:left="360"/>
      </w:pPr>
      <w:r>
        <w:rPr>
          <w:i/>
        </w:rPr>
        <w:t xml:space="preserve">sur cette machine.</w:t>
      </w:r>
    </w:p>
    <w:p>
      <w:pPr>
        <w:ind w:left="360"/>
      </w:pPr>
      <w:r>
        <w:rPr>
          <w:i/>
        </w:rPr>
        <w:t xml:space="preserve">« Il tapait tous ses manuscrits, sur une toute petite machine portable,</w:t>
      </w:r>
    </w:p>
    <w:p>
      <w:pPr>
        <w:ind w:left="360"/>
      </w:pPr>
      <w:r>
        <w:rPr>
          <w:i/>
        </w:rPr>
        <w:t xml:space="preserve">en utilisant deux doigts,... » (The Priceless Pearl, p. 201)</w:t>
      </w:r>
    </w:p>
    <w:p>
      <w:pPr>
        <w:ind w:left="360"/>
      </w:pPr>
      <w:r>
        <w:rPr>
          <w:i/>
        </w:rPr>
        <w:t xml:space="preserve">« Combien de centaines d'heures Shoghi Effendi a-t-il passées à lire</w:t>
      </w:r>
    </w:p>
    <w:p>
      <w:pPr>
        <w:ind w:left="360"/>
      </w:pPr>
      <w:r>
        <w:rPr>
          <w:i/>
        </w:rPr>
        <w:t xml:space="preserve">ses sources, à compiler ses notes, combien de jours et de mois a-t-il</w:t>
      </w:r>
    </w:p>
    <w:p>
      <w:pPr>
        <w:ind w:left="360"/>
      </w:pPr>
      <w:r>
        <w:rPr>
          <w:i/>
        </w:rPr>
        <w:t xml:space="preserve">passés à écrire, avec peine, manuellement, -- en réécrivant souvent --, la</w:t>
      </w:r>
    </w:p>
    <w:p>
      <w:pPr>
        <w:ind w:left="360"/>
      </w:pPr>
      <w:r>
        <w:rPr>
          <w:i/>
        </w:rPr>
        <w:t xml:space="preserve">série majestueuse de ses chapitres, combien plus encore de jours</w:t>
      </w:r>
    </w:p>
    <w:p>
      <w:pPr>
        <w:ind w:left="360"/>
      </w:pPr>
      <w:r>
        <w:rPr>
          <w:i/>
        </w:rPr>
        <w:t xml:space="preserve">épuisants, assis devant cette petite machine ; tapotant avec quelques</w:t>
      </w:r>
    </w:p>
    <w:p>
      <w:pPr>
        <w:ind w:left="360"/>
      </w:pPr>
      <w:r>
        <w:rPr>
          <w:i/>
        </w:rPr>
        <w:t xml:space="preserve">doigts, parfois dix heures jusqu'à la fin, tapant ainsi la copie finale de</w:t>
      </w:r>
    </w:p>
    <w:p>
      <w:pPr>
        <w:ind w:left="360"/>
      </w:pPr>
      <w:r>
        <w:rPr>
          <w:i/>
        </w:rPr>
        <w:t xml:space="preserve">son travail ! Et combien plus encore d'heures avons-nous passées tard le</w:t>
      </w:r>
    </w:p>
    <w:p>
      <w:pPr>
        <w:ind w:left="360"/>
      </w:pPr>
      <w:r>
        <w:rPr>
          <w:i/>
        </w:rPr>
        <w:t xml:space="preserve">soir, lorsque la lumière du jour s'était estompée ; assis côte-à-côte à la</w:t>
      </w:r>
    </w:p>
    <w:p>
      <w:pPr>
        <w:ind w:left="360"/>
      </w:pPr>
      <w:r>
        <w:rPr>
          <w:i/>
        </w:rPr>
        <w:t xml:space="preserve">grande table de sa salle à manger, chacun avec trois copies du manuscrit</w:t>
      </w:r>
    </w:p>
    <w:p>
      <w:pPr>
        <w:ind w:left="360"/>
      </w:pPr>
      <w:r>
        <w:rPr>
          <w:i/>
        </w:rPr>
        <w:t xml:space="preserve">devant nous, relisant, faisant des corrections, ajoutant manuellement les</w:t>
      </w:r>
    </w:p>
    <w:p>
      <w:pPr>
        <w:ind w:left="360"/>
      </w:pPr>
      <w:r>
        <w:rPr>
          <w:i/>
        </w:rPr>
        <w:t xml:space="preserve">milliers d'accents sur les mots translittérés que Shoghi Effendi lisait à</w:t>
      </w:r>
    </w:p>
    <w:p>
      <w:pPr>
        <w:ind w:left="360"/>
      </w:pPr>
      <w:r>
        <w:rPr>
          <w:i/>
        </w:rPr>
        <w:t xml:space="preserve">voix haute, jusqu'à ce que ses yeux soient injectés de sang et brouillés,</w:t>
      </w:r>
    </w:p>
    <w:p>
      <w:pPr>
        <w:ind w:left="360"/>
      </w:pPr>
      <w:r>
        <w:rPr>
          <w:i/>
        </w:rPr>
        <w:t xml:space="preserve">son dos et ses bras courbaturés de fatigue, pour que nous terminions un</w:t>
      </w:r>
    </w:p>
    <w:p>
      <w:pPr>
        <w:ind w:left="360"/>
      </w:pPr>
      <w:r>
        <w:rPr>
          <w:i/>
        </w:rPr>
        <w:t xml:space="preserve">chapitre entier ou une partie d'un chapitre qu'il avait tapés le jour</w:t>
      </w:r>
    </w:p>
    <w:p>
      <w:pPr>
        <w:ind w:left="360"/>
      </w:pPr>
      <w:r>
        <w:rPr>
          <w:i/>
        </w:rPr>
        <w:t xml:space="preserve">même ! Ça devait être fait. Il n'y avait pas de possibilité de travailler</w:t>
      </w:r>
    </w:p>
    <w:p>
      <w:pPr>
        <w:ind w:left="360"/>
      </w:pPr>
      <w:r>
        <w:rPr>
          <w:i/>
        </w:rPr>
        <w:t xml:space="preserve">plus lentement, il courait contre le temps pour présenter aux bahá'ís de</w:t>
      </w:r>
    </w:p>
    <w:p>
      <w:pPr>
        <w:ind w:left="360"/>
      </w:pPr>
      <w:r>
        <w:rPr>
          <w:i/>
        </w:rPr>
        <w:t xml:space="preserve">l'ouest ce présent inimitable à l'occasion du centième anniversaire du</w:t>
      </w:r>
    </w:p>
    <w:p>
      <w:pPr>
        <w:ind w:left="360"/>
      </w:pPr>
      <w:r>
        <w:rPr>
          <w:i/>
        </w:rPr>
        <w:t xml:space="preserve">début de leur Foi. (The Priceless Pearl, p. 223)</w:t>
      </w:r>
    </w:p>
    <w:p>
      <w:pPr>
        <w:ind w:left="360"/>
      </w:pPr>
      <w:r>
        <w:rPr>
          <w:i/>
        </w:rPr>
        <w:t xml:space="preserve">(Extrait de Thornton Chase, the First Western Baha'i, dans sa Study,</w:t>
      </w:r>
    </w:p>
    <w:p>
      <w:pPr>
        <w:ind w:left="360"/>
      </w:pPr>
      <w:r>
        <w:rPr>
          <w:i/>
        </w:rPr>
        <w:t xml:space="preserve">"Reflection on the Bahá'í Faith").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Shoghi Effendi envoya le manuscrit du Kitáb-i-Íqán à l'ASN</w:t>
      </w:r>
    </w:p>
    <w:p>
      <w:pPr>
        <w:ind w:left="360"/>
      </w:pPr>
      <w:r>
        <w:rPr>
          <w:i/>
        </w:rPr>
        <w:t xml:space="preserve">des USA pour publication, cette note était attachée :</w:t>
      </w:r>
    </w:p>
    <w:p>
      <w:pPr>
        <w:ind w:left="360"/>
      </w:pPr>
      <w:r>
        <w:rPr>
          <w:i/>
        </w:rPr>
        <w:t xml:space="preserve">« Impossible de trouver un bon dactylo. J'ai du faire le travail moi-</w:t>
      </w:r>
    </w:p>
    <w:p>
      <w:pPr>
        <w:ind w:left="360"/>
      </w:pPr>
      <w:r>
        <w:rPr>
          <w:i/>
        </w:rPr>
        <w:t xml:space="preserve">même et je pense que les réviseurs poursuivront sans difficulté et ne</w:t>
      </w:r>
    </w:p>
    <w:p>
      <w:pPr>
        <w:ind w:left="360"/>
      </w:pPr>
      <w:r>
        <w:rPr>
          <w:i/>
        </w:rPr>
        <w:t xml:space="preserve">tiendront pas compte des fautes de frappe que j'ai essayé de corriger.</w:t>
      </w:r>
    </w:p>
    <w:p>
      <w:pPr>
        <w:ind w:left="360"/>
      </w:pPr>
      <w:r>
        <w:rPr>
          <w:i/>
        </w:rPr>
        <w:t xml:space="preserve">J'aimerais vivement vous recommander de vous en tenir à la</w:t>
      </w:r>
    </w:p>
    <w:p>
      <w:pPr>
        <w:ind w:left="360"/>
      </w:pPr>
      <w:r>
        <w:rPr>
          <w:i/>
        </w:rPr>
        <w:t xml:space="preserve">translittération que j'ai adoptée. Le titre correct, c'est mon sentiment, est</w:t>
      </w:r>
    </w:p>
    <w:p>
      <w:pPr>
        <w:ind w:left="360"/>
      </w:pPr>
      <w:r>
        <w:rPr>
          <w:i/>
        </w:rPr>
        <w:t xml:space="preserve">'Le Kitab-i-'Iqan', 'Le Livre de la Certitude'. Que cela puisse aider les</w:t>
      </w:r>
    </w:p>
    <w:p>
      <w:pPr>
        <w:ind w:left="360"/>
      </w:pPr>
      <w:r>
        <w:rPr>
          <w:i/>
        </w:rPr>
        <w:t xml:space="preserve">amis à faire un pas de plus et obtenir une idée plus claire des</w:t>
      </w:r>
    </w:p>
    <w:p>
      <w:pPr>
        <w:ind w:left="360"/>
      </w:pPr>
      <w:r>
        <w:rPr>
          <w:i/>
        </w:rPr>
        <w:t xml:space="preserve">enseignements fondamentaux établis par Bahá’u’lláh. »</w:t>
      </w:r>
    </w:p>
    <w:p>
      <w:pPr>
        <w:ind w:left="360"/>
      </w:pPr>
      <w:r>
        <w:rPr>
          <w:i/>
        </w:rPr>
        <w:t xml:space="preserve">(signé) Shoghi</w:t>
      </w:r>
    </w:p>
    <w:p>
      <w:pPr>
        <w:ind w:left="360"/>
      </w:pPr>
      <w:r>
        <w:rPr>
          <w:i/>
        </w:rPr>
        <w:t xml:space="preserve">(USBN #46 - November 1930 - page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remarque : dans beaucoup de cas, il notait les signes diacritiques à la</w:t>
      </w:r>
    </w:p>
    <w:p>
      <w:pPr>
        <w:ind w:left="360"/>
      </w:pPr>
      <w:r>
        <w:rPr>
          <w:i/>
        </w:rPr>
        <w:t xml:space="preserve">main, car sa machine à écrire ne le permettait pas.</w:t>
      </w:r>
    </w:p>
    <w:p>
      <w:pPr>
        <w:ind w:left="360"/>
      </w:pPr>
      <w:r>
        <w:rPr>
          <w:i/>
        </w:rPr>
        <w:t xml:space="preserve">(Et depuis lors, on écrit "Le Kitáb-i-Íqán")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Respecter la translittération c'est donc respecter Shoghi Effendi</w:t>
      </w:r>
    </w:p>
    <w:p>
      <w:pPr>
        <w:ind w:left="360"/>
      </w:pPr>
      <w:r>
        <w:rPr>
          <w:i/>
        </w:rPr>
        <w:t xml:space="preserve">et son épouse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comment</w:t>
      </w:r>
    </w:p>
    <w:p>
      <w:pPr>
        <w:ind w:left="360"/>
      </w:pPr>
      <w:r>
        <w:rPr>
          <w:i/>
        </w:rPr>
        <w:t xml:space="preserve">Il faut d'abord avoir sous la main la table de translittération (en</w:t>
      </w:r>
    </w:p>
    <w:p>
      <w:pPr>
        <w:ind w:left="360"/>
      </w:pPr>
      <w:r>
        <w:rPr>
          <w:i/>
        </w:rPr>
        <w:t xml:space="preserve">annexe), où se trouve également indiquée la prononciation des lettres en</w:t>
      </w:r>
    </w:p>
    <w:p>
      <w:pPr>
        <w:ind w:left="360"/>
      </w:pPr>
      <w:r>
        <w:rPr>
          <w:i/>
        </w:rPr>
        <w:t xml:space="preserve">alphabet phonétique international.</w:t>
      </w:r>
    </w:p>
    <w:p>
      <w:pPr>
        <w:ind w:left="360"/>
      </w:pPr>
      <w:r>
        <w:rPr>
          <w:i/>
        </w:rPr>
        <w:t xml:space="preserve">Pour commencer, nous prendrons l'exemple des mots les plus</w:t>
      </w:r>
    </w:p>
    <w:p>
      <w:pPr>
        <w:ind w:left="360"/>
      </w:pPr>
      <w:r>
        <w:rPr>
          <w:i/>
        </w:rPr>
        <w:t xml:space="preserve">importants.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arabe, la lettre Alif représente le son 'a', translittéré par un 'á' avec</w:t>
      </w:r>
    </w:p>
    <w:p>
      <w:pPr>
        <w:ind w:left="360"/>
      </w:pPr>
      <w:r>
        <w:rPr>
          <w:i/>
        </w:rPr>
        <w:t xml:space="preserve">un accent inversé. Il s'agit d'un son long. Lorsque vous voyez un 'a' sans</w:t>
      </w:r>
    </w:p>
    <w:p>
      <w:pPr>
        <w:ind w:left="360"/>
      </w:pPr>
      <w:r>
        <w:rPr>
          <w:i/>
        </w:rPr>
        <w:t xml:space="preserve">accent, il s'agit d'une aide à la prononciation qui ne correspond à aucune</w:t>
      </w:r>
    </w:p>
    <w:p>
      <w:pPr>
        <w:ind w:left="360"/>
      </w:pPr>
      <w:r>
        <w:rPr>
          <w:i/>
        </w:rPr>
        <w:t xml:space="preserve">lettre. Certains le prononcent d'ailleurs 'è'. Par exemple, le mot 'kataba'</w:t>
      </w:r>
    </w:p>
    <w:p>
      <w:pPr>
        <w:ind w:left="360"/>
      </w:pPr>
      <w:r>
        <w:rPr>
          <w:i/>
        </w:rPr>
        <w:t xml:space="preserve">(écrire) s'écrit seulement avec trois lettres : k, t, b. On peut remplacer les</w:t>
      </w:r>
    </w:p>
    <w:p>
      <w:pPr>
        <w:ind w:left="360"/>
      </w:pPr>
      <w:r>
        <w:rPr>
          <w:i/>
        </w:rPr>
        <w:t xml:space="preserve">voyelles courtes par des voyelles longues et former d'autres mots : k,t,á,</w:t>
      </w:r>
    </w:p>
    <w:p>
      <w:pPr>
        <w:ind w:left="360"/>
      </w:pPr>
      <w:r>
        <w:rPr>
          <w:i/>
        </w:rPr>
        <w:t xml:space="preserve">b, ce qui donne le mot kitáb (livre) ou k,á,t,b, qui donne le mot kátib</w:t>
      </w:r>
    </w:p>
    <w:p>
      <w:pPr>
        <w:ind w:left="360"/>
      </w:pPr>
      <w:r>
        <w:rPr>
          <w:i/>
        </w:rPr>
        <w:t xml:space="preserve">(écrivain).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mot arabe (bahá) ‫ بهآء‬a été translittéré Bahá car il n'y a pas dans la</w:t>
      </w:r>
    </w:p>
    <w:p>
      <w:pPr>
        <w:ind w:left="360"/>
      </w:pPr>
      <w:r>
        <w:rPr>
          <w:i/>
        </w:rPr>
        <w:t xml:space="preserve">translittération bahá'íe de différence entre un alif simple et un alif</w:t>
      </w:r>
    </w:p>
    <w:p>
      <w:pPr>
        <w:ind w:left="360"/>
      </w:pPr>
      <w:r>
        <w:rPr>
          <w:i/>
        </w:rPr>
        <w:t xml:space="preserve">madda (l'espèce de tilde qui se trouve au-dessus du Alif) qui vaut deux</w:t>
      </w:r>
    </w:p>
    <w:p>
      <w:pPr>
        <w:ind w:left="360"/>
      </w:pPr>
      <w:r>
        <w:rPr>
          <w:i/>
        </w:rPr>
        <w:t xml:space="preserve">alif simples au niveau de la prononciation. Pour nos amis musiciens, on</w:t>
      </w:r>
    </w:p>
    <w:p>
      <w:pPr>
        <w:ind w:left="360"/>
      </w:pPr>
      <w:r>
        <w:rPr>
          <w:i/>
        </w:rPr>
        <w:t xml:space="preserve">peut comparer l'alif simple à une noire et l'alif madda à une blanche. En</w:t>
      </w:r>
    </w:p>
    <w:p>
      <w:pPr>
        <w:ind w:left="360"/>
      </w:pPr>
      <w:r>
        <w:rPr>
          <w:i/>
        </w:rPr>
        <w:t xml:space="preserve">API (alphabet phonétique international), l'alif simple est noté [a:]</w:t>
      </w:r>
    </w:p>
    <w:p>
      <w:pPr>
        <w:ind w:left="360"/>
      </w:pPr>
      <w:r>
        <w:rPr>
          <w:i/>
        </w:rPr>
        <w:t xml:space="preserve">(unicode U + 0061) et l'alif madda [æ:] (unicode U+ 00E6).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semblerait inconvenant d'écrire bháá (le premier a étant une voyelle</w:t>
      </w:r>
    </w:p>
    <w:p>
      <w:pPr>
        <w:ind w:left="360"/>
      </w:pPr>
      <w:r>
        <w:rPr>
          <w:i/>
        </w:rPr>
        <w:t xml:space="preserve">brève, en arabe, il ne s'écrit pas et selon les régions se prononce même</w:t>
      </w:r>
    </w:p>
    <w:p>
      <w:pPr>
        <w:ind w:left="360"/>
      </w:pPr>
      <w:r>
        <w:rPr>
          <w:i/>
        </w:rPr>
        <w:t xml:space="preserve">è, au contraire du alif qui est une voyelle longue et se translittère á (avec</w:t>
      </w:r>
    </w:p>
    <w:p>
      <w:pPr>
        <w:ind w:left="360"/>
      </w:pPr>
      <w:r>
        <w:rPr>
          <w:i/>
        </w:rPr>
        <w:t xml:space="preserve">accent); de même, l'arabe ne contient pas de majuscule). La hamza (‫)ء‬</w:t>
      </w:r>
    </w:p>
    <w:p>
      <w:pPr>
        <w:ind w:left="360"/>
      </w:pPr>
      <w:r>
        <w:rPr>
          <w:i/>
        </w:rPr>
        <w:t xml:space="preserve">ne se translittère que si elle est suivie d'un mot – substantif ou adjectif -</w:t>
      </w:r>
    </w:p>
    <w:p>
      <w:pPr>
        <w:ind w:left="360"/>
      </w:pPr>
      <w:r>
        <w:rPr>
          <w:i/>
        </w:rPr>
        <w:t xml:space="preserve">(auquel cas elle porte la marque des différents cas de déclinaison arabe :</w:t>
      </w:r>
    </w:p>
    <w:p>
      <w:pPr>
        <w:ind w:left="360"/>
      </w:pPr>
      <w:r>
        <w:rPr>
          <w:i/>
        </w:rPr>
        <w:t xml:space="preserve">nominatif, direct, indirect 'u, a, i', correspondant au nominatif, accusatif</w:t>
      </w:r>
    </w:p>
    <w:p>
      <w:pPr>
        <w:ind w:left="360"/>
      </w:pPr>
      <w:r>
        <w:rPr>
          <w:i/>
        </w:rPr>
        <w:t xml:space="preserve">ou la triade génitif-datif-ablatif) car ce n'est pas à proprement parler une</w:t>
      </w:r>
    </w:p>
    <w:p>
      <w:pPr>
        <w:ind w:left="360"/>
      </w:pPr>
      <w:r>
        <w:rPr>
          <w:i/>
        </w:rPr>
        <w:t xml:space="preserve">lettre mais plutôt un signe diacritique, un « coup de glotte ». Nous en</w:t>
      </w:r>
    </w:p>
    <w:p>
      <w:pPr>
        <w:ind w:left="360"/>
      </w:pPr>
      <w:r>
        <w:rPr>
          <w:i/>
        </w:rPr>
        <w:t xml:space="preserve">verrons des exemples ci-dessous.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mot signifie « beauté, magnificence, splendeur, brillance, gloire ou</w:t>
      </w:r>
    </w:p>
    <w:p>
      <w:pPr>
        <w:ind w:left="360"/>
      </w:pPr>
      <w:r>
        <w:rPr>
          <w:i/>
        </w:rPr>
        <w:t xml:space="preserve">lumière ». Shoghi Effendi a choisi “Gloire”.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Depuis le 8ème siècle dans le monde arabe, on a assigné une valeur</w:t>
      </w:r>
    </w:p>
    <w:p>
      <w:pPr>
        <w:ind w:left="360"/>
      </w:pPr>
      <w:r>
        <w:rPr>
          <w:i/>
        </w:rPr>
        <w:t xml:space="preserve">numérique aux lettres, qui s'appelle la numération Abjad (voir annexe).</w:t>
      </w:r>
    </w:p>
    <w:p>
      <w:pPr>
        <w:ind w:left="360"/>
      </w:pPr>
      <w:r>
        <w:rPr>
          <w:i/>
        </w:rPr>
        <w:t xml:space="preserve">Par exemple le mot Alláh vaut 66. Le mot Báb vaut 5. En bref, pour ce</w:t>
      </w:r>
    </w:p>
    <w:p>
      <w:pPr>
        <w:ind w:left="360"/>
      </w:pPr>
      <w:r>
        <w:rPr>
          <w:i/>
        </w:rPr>
        <w:t xml:space="preserve">qui nous intéresse, retenons que la lettre Bá’ vaut 2, Há’ vaut 5 et Alif</w:t>
      </w:r>
    </w:p>
    <w:p>
      <w:pPr>
        <w:ind w:left="360"/>
      </w:pPr>
      <w:r>
        <w:rPr>
          <w:i/>
        </w:rPr>
        <w:t xml:space="preserve">translittéré á vaut 1, et 2 dans le cas de l'alif madda. Tel qu'il s'écrit en</w:t>
      </w:r>
    </w:p>
    <w:p>
      <w:pPr>
        <w:ind w:left="360"/>
      </w:pPr>
      <w:r>
        <w:rPr>
          <w:i/>
        </w:rPr>
        <w:t xml:space="preserve">arabe ( ‫ ) بهآء‬il vaut donc Bá’ + Há’ + Alif madda + hamza, soit</w:t>
      </w:r>
    </w:p>
    <w:p>
      <w:pPr>
        <w:ind w:left="360"/>
      </w:pPr>
      <w:r>
        <w:rPr>
          <w:i/>
        </w:rPr>
        <w:t xml:space="preserve">2+5+2+0 =9. (le a et la hamza dans Bahá n'ont pas de valeur ; le á se</w:t>
      </w:r>
    </w:p>
    <w:p>
      <w:pPr>
        <w:ind w:left="360"/>
      </w:pPr>
      <w:r>
        <w:rPr>
          <w:i/>
        </w:rPr>
        <w:t xml:space="preserve">prononce de façon allongée comme un â, mais dans la translittération, il</w:t>
      </w:r>
    </w:p>
    <w:p>
      <w:pPr>
        <w:ind w:left="360"/>
      </w:pPr>
      <w:r>
        <w:rPr>
          <w:i/>
        </w:rPr>
        <w:t xml:space="preserve">n'a pas été fait de distinction entre le alif simple et le alif madda, et tous</w:t>
      </w:r>
    </w:p>
    <w:p>
      <w:pPr>
        <w:ind w:left="360"/>
      </w:pPr>
      <w:r>
        <w:rPr>
          <w:i/>
        </w:rPr>
        <w:t xml:space="preserve">les deux se translittèrent 'á', ce qui peut prêter à confusion, et si l'on se</w:t>
      </w:r>
    </w:p>
    <w:p>
      <w:pPr>
        <w:ind w:left="360"/>
      </w:pPr>
      <w:r>
        <w:rPr>
          <w:i/>
        </w:rPr>
        <w:t xml:space="preserve">trompe on risque de calculer que Bahá vaut 8.</w:t>
      </w:r>
    </w:p>
    <w:p>
      <w:pPr>
        <w:ind w:left="360"/>
      </w:pPr>
      <w:r>
        <w:rPr>
          <w:i/>
        </w:rPr>
        <w:t xml:space="preserve">La valeur 9 a une très grande importance symbolique dans la Foi. Elle</w:t>
      </w:r>
    </w:p>
    <w:p>
      <w:pPr>
        <w:ind w:left="360"/>
      </w:pPr>
      <w:r>
        <w:rPr>
          <w:i/>
        </w:rPr>
        <w:t xml:space="preserve">représente non seulement le nombre minimum de membres d'une</w:t>
      </w:r>
    </w:p>
    <w:p>
      <w:pPr>
        <w:ind w:left="360"/>
      </w:pPr>
      <w:r>
        <w:rPr>
          <w:i/>
        </w:rPr>
        <w:t xml:space="preserve">Maison de Justice, mais est aussi « le symbole qui présage le Nom</w:t>
      </w:r>
    </w:p>
    <w:p>
      <w:pPr>
        <w:ind w:left="360"/>
      </w:pPr>
      <w:r>
        <w:rPr>
          <w:i/>
        </w:rPr>
        <w:t xml:space="preserve">préservé et manifeste, inviolable et inaccessiblement exalté » (Kitáb-i-</w:t>
      </w:r>
    </w:p>
    <w:p>
      <w:pPr>
        <w:ind w:left="360"/>
      </w:pPr>
      <w:r>
        <w:rPr>
          <w:i/>
        </w:rPr>
        <w:t xml:space="preserve">Aqdas, par. 29). Dans le texte arabe, le verset se réfère à la lettre Ṭá’</w:t>
      </w:r>
    </w:p>
    <w:p>
      <w:pPr>
        <w:ind w:left="360"/>
      </w:pPr>
      <w:r>
        <w:rPr>
          <w:i/>
        </w:rPr>
        <w:t xml:space="preserve">(notez le point au-dessous du Ṭ dont la valeur Abjad est neuf) et non au</w:t>
      </w:r>
    </w:p>
    <w:p>
      <w:pPr>
        <w:ind w:left="360"/>
      </w:pPr>
      <w:r>
        <w:rPr>
          <w:i/>
        </w:rPr>
        <w:t xml:space="preserve">'chiffre 9' qui en arabe se dit tis‘ah. Le verset dit :</w:t>
      </w:r>
    </w:p>
    <w:p>
      <w:pPr>
        <w:ind w:left="360"/>
      </w:pPr>
      <w:r>
        <w:rPr>
          <w:i/>
        </w:rPr>
        <w:t xml:space="preserve">(li annahu budi’a bi ṭ-Ṭá’i). Il convient donc de traduire le 1er verset du</w:t>
      </w:r>
    </w:p>
    <w:p>
      <w:pPr>
        <w:ind w:left="360"/>
      </w:pPr>
      <w:r>
        <w:rPr>
          <w:i/>
        </w:rPr>
        <w:t xml:space="preserve">paragraphe 29 par : “...puisque qu'il commence par le nombre 9...” (le</w:t>
      </w:r>
    </w:p>
    <w:p>
      <w:pPr>
        <w:ind w:left="360"/>
      </w:pPr>
      <w:r>
        <w:rPr>
          <w:i/>
        </w:rPr>
        <w:t xml:space="preserve">chiffre 9 se dit tis‘a).</w:t>
      </w:r>
    </w:p>
    <w:p>
      <w:pPr>
        <w:ind w:left="360"/>
      </w:pPr>
      <w:r>
        <w:rPr>
          <w:i/>
        </w:rPr>
        <w:t xml:space="preserve">Lorsque Bahá’u’lláh se réfère à la ville ou la province de Téhéran, Il</w:t>
      </w:r>
    </w:p>
    <w:p>
      <w:pPr>
        <w:ind w:left="360"/>
      </w:pPr>
      <w:r>
        <w:rPr>
          <w:i/>
        </w:rPr>
        <w:t xml:space="preserve">écrit “Ô terre de Ṭá’”(avec point, valeur 9). Les Persans l'écrivent</w:t>
      </w:r>
    </w:p>
    <w:p>
      <w:pPr>
        <w:ind w:left="360"/>
      </w:pPr>
      <w:r>
        <w:rPr>
          <w:i/>
        </w:rPr>
        <w:t xml:space="preserve">cependant avec un Tá’ sans point, qui est une autre lettre, dont la valeur</w:t>
      </w:r>
    </w:p>
    <w:p>
      <w:pPr>
        <w:ind w:left="360"/>
      </w:pPr>
      <w:r>
        <w:rPr>
          <w:i/>
        </w:rPr>
        <w:t xml:space="preserve">Abjad est de 400. Il est donc important d'utiliser le ‫ ط‬et non le ‫ت‬. Mais</w:t>
      </w:r>
    </w:p>
    <w:p>
      <w:pPr>
        <w:ind w:left="360"/>
      </w:pPr>
      <w:r>
        <w:rPr>
          <w:i/>
        </w:rPr>
        <w:t xml:space="preserve">il est vrai que le ‫ ط‬qui est une lettre emphatique est difficile à</w:t>
      </w:r>
    </w:p>
    <w:p>
      <w:pPr>
        <w:ind w:left="360"/>
      </w:pPr>
      <w:r>
        <w:rPr>
          <w:i/>
        </w:rPr>
        <w:t xml:space="preserve">prononcer.</w:t>
      </w:r>
    </w:p>
    <w:p>
      <w:pPr>
        <w:ind w:left="360"/>
      </w:pPr>
      <w:r>
        <w:rPr>
          <w:i/>
        </w:rPr>
        <w:t xml:space="preserve">Avant de passer à quelques exemples, il faut approfondir un peu les</w:t>
      </w:r>
    </w:p>
    <w:p>
      <w:pPr>
        <w:ind w:left="360"/>
      </w:pPr>
      <w:r>
        <w:rPr>
          <w:i/>
        </w:rPr>
        <w:t xml:space="preserve">caractéristiques de la hamza. Dans la table de translittération bahá'íe, la</w:t>
      </w:r>
    </w:p>
    <w:p>
      <w:pPr>
        <w:ind w:left="360"/>
      </w:pPr>
      <w:r>
        <w:rPr>
          <w:i/>
        </w:rPr>
        <w:t xml:space="preserve">hamza est représentée par une espèce d'apostrophe qui en fait ressemble</w:t>
      </w:r>
    </w:p>
    <w:p>
      <w:pPr>
        <w:ind w:left="360"/>
      </w:pPr>
      <w:r>
        <w:rPr>
          <w:i/>
        </w:rPr>
        <w:t xml:space="preserve">à une virgule (Unicode U + 1FBD, ou Din 31635 ; il n'existe pas de</w:t>
      </w:r>
    </w:p>
    <w:p>
      <w:pPr>
        <w:ind w:left="360"/>
      </w:pPr>
      <w:r>
        <w:rPr>
          <w:i/>
        </w:rPr>
        <w:t xml:space="preserve">code ASCII). Mais pour simplifier, on utilise parfois l'apostrophe</w:t>
      </w:r>
    </w:p>
    <w:p>
      <w:pPr>
        <w:ind w:left="360"/>
      </w:pPr>
      <w:r>
        <w:rPr>
          <w:i/>
        </w:rPr>
        <w:t xml:space="preserve">habituelle. Suivi d'une voyelle courte (marque de déclinaison), il se</w:t>
      </w:r>
    </w:p>
    <w:p>
      <w:pPr>
        <w:ind w:left="360"/>
      </w:pPr>
      <w:r>
        <w:rPr>
          <w:i/>
        </w:rPr>
        <w:t xml:space="preserve">translittère obligatoirement. Dans ce cas, l'alif madda redevient un alif</w:t>
      </w:r>
    </w:p>
    <w:p>
      <w:pPr>
        <w:ind w:left="360"/>
      </w:pPr>
      <w:r>
        <w:rPr>
          <w:i/>
        </w:rPr>
        <w:t xml:space="preserve">simple ! Comme par exemple : Bahá’í ( í long : bahá'iy, pl. bahá’íyyún)</w:t>
      </w:r>
    </w:p>
    <w:p>
      <w:pPr>
        <w:ind w:left="360"/>
      </w:pPr>
      <w:r>
        <w:rPr>
          <w:i/>
        </w:rPr>
        <w:t xml:space="preserve">que l'on n'écrit pas Baháí. La prononciation est Bahâ-î et non bahaye.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J'ouvre une parenthèse sur le nom Alláh. Il résulte de l'apocope de al</w:t>
      </w:r>
    </w:p>
    <w:p>
      <w:pPr>
        <w:ind w:left="360"/>
      </w:pPr>
      <w:r>
        <w:rPr>
          <w:i/>
        </w:rPr>
        <w:t xml:space="preserve">(article défini neutre) et iláh (divinité), le i disparaissant, ce qui donne</w:t>
      </w:r>
    </w:p>
    <w:p>
      <w:pPr>
        <w:ind w:left="360"/>
      </w:pPr>
      <w:r>
        <w:rPr>
          <w:i/>
        </w:rPr>
        <w:t xml:space="preserve">(al ’láh). Le premier Alif est un Alif wasla ! Quand le mot est lié à ce</w:t>
      </w:r>
    </w:p>
    <w:p>
      <w:pPr>
        <w:ind w:left="360"/>
      </w:pPr>
      <w:r>
        <w:rPr>
          <w:i/>
        </w:rPr>
        <w:t xml:space="preserve">qui le précède, il est élidé et cette liaison est marquée par une hamza,</w:t>
      </w:r>
    </w:p>
    <w:p>
      <w:pPr>
        <w:ind w:left="360"/>
      </w:pPr>
      <w:r>
        <w:rPr>
          <w:i/>
        </w:rPr>
        <w:t xml:space="preserve">soit un ’ et donc on écrit Bahá’u’lláh (le u est la marque du nominatif) et</w:t>
      </w:r>
    </w:p>
    <w:p>
      <w:pPr>
        <w:ind w:left="360"/>
      </w:pPr>
      <w:r>
        <w:rPr>
          <w:i/>
        </w:rPr>
        <w:t xml:space="preserve">non Bahá’u-lláh. On omet également la marque du génitif qui serait</w:t>
      </w:r>
    </w:p>
    <w:p>
      <w:pPr>
        <w:ind w:left="360"/>
      </w:pPr>
      <w:r>
        <w:rPr>
          <w:i/>
        </w:rPr>
        <w:t xml:space="preserve">Bahá’u’lláhi (i court).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Certains mots sont considérés comme noms composés et comportent</w:t>
      </w:r>
    </w:p>
    <w:p>
      <w:pPr>
        <w:ind w:left="360"/>
      </w:pPr>
      <w:r>
        <w:rPr>
          <w:i/>
        </w:rPr>
        <w:t xml:space="preserve">donc un tiret : Yá Bahá’u’l-Abhá, Alláhu-Abhá (écrit Alláh-u-Abhá,</w:t>
      </w:r>
    </w:p>
    <w:p>
      <w:pPr>
        <w:ind w:left="360"/>
      </w:pPr>
      <w:r>
        <w:rPr>
          <w:i/>
        </w:rPr>
        <w:t xml:space="preserve">probablement pour que l'on comprenne que c'est Alláh [Dieu] que l'on</w:t>
      </w:r>
    </w:p>
    <w:p>
      <w:pPr>
        <w:ind w:left="360"/>
      </w:pPr>
      <w:r>
        <w:rPr>
          <w:i/>
        </w:rPr>
        <w:t xml:space="preserve">invoque ; sinon c'est comme si on écrivait ‘Abd-u’l-Bahá, Ḥuqúq-</w:t>
      </w:r>
    </w:p>
    <w:p>
      <w:pPr>
        <w:ind w:left="360"/>
      </w:pPr>
      <w:r>
        <w:rPr>
          <w:i/>
        </w:rPr>
        <w:t xml:space="preserve">u’lláh,...). Parfois c'est un mélange de graphie persane et arabe qui est</w:t>
      </w:r>
    </w:p>
    <w:p>
      <w:pPr>
        <w:ind w:left="360"/>
      </w:pPr>
      <w:r>
        <w:rPr>
          <w:i/>
        </w:rPr>
        <w:t xml:space="preserve">utilisé : Kitáb-i-Aqdas, au lieu de al Kitábu’l-Aqdas.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qui concerne Yá Bahá’u’l-Abhá, Bahá est au nominatif (u) car</w:t>
      </w:r>
    </w:p>
    <w:p>
      <w:pPr>
        <w:ind w:left="360"/>
      </w:pPr>
      <w:r>
        <w:rPr>
          <w:i/>
        </w:rPr>
        <w:t xml:space="preserve">dans ce cas Abhá est considéré comme un substantif. S'il était considéré</w:t>
      </w:r>
    </w:p>
    <w:p>
      <w:pPr>
        <w:ind w:left="360"/>
      </w:pPr>
      <w:r>
        <w:rPr>
          <w:i/>
        </w:rPr>
        <w:t xml:space="preserve">comme adjectif au mode élatif, on écrirait Bahá’a. Raison pour laquelle</w:t>
      </w:r>
    </w:p>
    <w:p>
      <w:pPr>
        <w:ind w:left="360"/>
      </w:pPr>
      <w:r>
        <w:rPr>
          <w:i/>
        </w:rPr>
        <w:t xml:space="preserve">Shoghi Effendi a traduit par “Ô Toi Gloire des Gloires !” et non 'Ô Toi</w:t>
      </w:r>
    </w:p>
    <w:p>
      <w:pPr>
        <w:ind w:left="360"/>
      </w:pPr>
      <w:r>
        <w:rPr>
          <w:i/>
        </w:rPr>
        <w:t xml:space="preserve">la Gloire la Plus Glorieuse'. Le pluriel 'Gloires' est un pluriel de</w:t>
      </w:r>
    </w:p>
    <w:p>
      <w:pPr>
        <w:ind w:left="360"/>
      </w:pPr>
      <w:r>
        <w:rPr>
          <w:i/>
        </w:rPr>
        <w:t xml:space="preserve">révérence et de majesté, comme lorsque Bahá’u’lláh écrit “Ne pensez</w:t>
      </w:r>
    </w:p>
    <w:p>
      <w:pPr>
        <w:ind w:left="360"/>
      </w:pPr>
      <w:r>
        <w:rPr>
          <w:i/>
        </w:rPr>
        <w:t xml:space="preserve">pas que Nous vous avons révélé...”. Le nom composé ‘Abdu’l-Bahá</w:t>
      </w:r>
    </w:p>
    <w:p>
      <w:pPr>
        <w:ind w:left="360"/>
      </w:pPr>
      <w:r>
        <w:rPr>
          <w:i/>
        </w:rPr>
        <w:t xml:space="preserve">débute par un ‘ayn' (‫ )ع‬mais dont la prononciation est assez difficile et</w:t>
      </w:r>
    </w:p>
    <w:p>
      <w:pPr>
        <w:ind w:left="360"/>
      </w:pPr>
      <w:r>
        <w:rPr>
          <w:i/>
        </w:rPr>
        <w:t xml:space="preserve">qu'en général on laisse tomber. Le dh et th se prononcent comme le "th"</w:t>
      </w:r>
    </w:p>
    <w:p>
      <w:pPr>
        <w:ind w:left="360"/>
      </w:pPr>
      <w:r>
        <w:rPr>
          <w:i/>
        </w:rPr>
        <w:t xml:space="preserve">anglais, dur ou léger. À noter : lorsque l'on voit deux lettres soulignées,</w:t>
      </w:r>
    </w:p>
    <w:p>
      <w:pPr>
        <w:ind w:left="360"/>
      </w:pPr>
      <w:r>
        <w:rPr>
          <w:i/>
        </w:rPr>
        <w:t xml:space="preserve">elles représentent en fait une seule lettre arabe.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Vous constaterez donc qu'en arabe, certaines lettres se prononcent</w:t>
      </w:r>
    </w:p>
    <w:p>
      <w:pPr>
        <w:ind w:left="360"/>
      </w:pPr>
      <w:r>
        <w:rPr>
          <w:i/>
        </w:rPr>
        <w:t xml:space="preserve">différemment, le s et le ṣ (avec point), le d et le ḍ (avec point), le t et le</w:t>
      </w:r>
    </w:p>
    <w:p>
      <w:pPr>
        <w:ind w:left="360"/>
      </w:pPr>
      <w:r>
        <w:rPr>
          <w:i/>
        </w:rPr>
        <w:t xml:space="preserve">ṭ, le h et le ḥ. Les lettres accompagnées d'un point sont dites</w:t>
      </w:r>
    </w:p>
    <w:p>
      <w:pPr>
        <w:ind w:left="360"/>
      </w:pPr>
      <w:r>
        <w:rPr>
          <w:i/>
        </w:rPr>
        <w:t xml:space="preserve">emphatiques et sont très difficiles à prononcer pour un non-arabophone.</w:t>
      </w:r>
    </w:p>
    <w:p>
      <w:pPr>
        <w:ind w:left="360"/>
      </w:pPr>
      <w:r>
        <w:rPr>
          <w:i/>
        </w:rPr>
        <w:t xml:space="preserve">Laissez tomber. Seul le h doux et le ḥ fortement expiré (comme pour</w:t>
      </w:r>
    </w:p>
    <w:p>
      <w:pPr>
        <w:ind w:left="360"/>
      </w:pPr>
      <w:r>
        <w:rPr>
          <w:i/>
        </w:rPr>
        <w:t xml:space="preserve">éteindre une bougie) sont à notre portée.</w:t>
      </w:r>
    </w:p>
    <w:p>
      <w:pPr>
        <w:ind w:left="360"/>
      </w:pPr>
      <w:r>
        <w:rPr>
          <w:i/>
        </w:rPr>
        <w:t xml:space="preserve">Vous pourrez maintenant comprendre plus facilement comment</w:t>
      </w:r>
    </w:p>
    <w:p>
      <w:pPr>
        <w:ind w:left="360"/>
      </w:pPr>
      <w:r>
        <w:rPr>
          <w:i/>
        </w:rPr>
        <w:t xml:space="preserve">translittérer et prononcer un mot bien connu : Ḥuqúqu’lláh. H fortement</w:t>
      </w:r>
    </w:p>
    <w:p>
      <w:pPr>
        <w:ind w:left="360"/>
      </w:pPr>
      <w:r>
        <w:rPr>
          <w:i/>
        </w:rPr>
        <w:t xml:space="preserve">expiré, son “ou” court, le q est difficile, un deuxième “ou” plus long, de</w:t>
      </w:r>
    </w:p>
    <w:p>
      <w:pPr>
        <w:ind w:left="360"/>
      </w:pPr>
      <w:r>
        <w:rPr>
          <w:i/>
        </w:rPr>
        <w:t xml:space="preserve">nouveau q, un “ou” court (marque du nominatif), la hamza qui marque</w:t>
      </w:r>
    </w:p>
    <w:p>
      <w:pPr>
        <w:ind w:left="360"/>
      </w:pPr>
      <w:r>
        <w:rPr>
          <w:i/>
        </w:rPr>
        <w:t xml:space="preserve">un léger arrêt (comme quand on prononce : je vais à ’ Amsterdam), un</w:t>
      </w:r>
    </w:p>
    <w:p>
      <w:pPr>
        <w:ind w:left="360"/>
      </w:pPr>
      <w:r>
        <w:rPr>
          <w:i/>
        </w:rPr>
        <w:t xml:space="preserve">double l (les deux doivent s'entendre), un a long et un h que l'on</w:t>
      </w:r>
    </w:p>
    <w:p>
      <w:pPr>
        <w:ind w:left="360"/>
      </w:pPr>
      <w:r>
        <w:rPr>
          <w:i/>
        </w:rPr>
        <w:t xml:space="preserve">n'entend quasiment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faut faire très attention au “ayn” qui est la première lettre de beaucoup</w:t>
      </w:r>
    </w:p>
    <w:p>
      <w:pPr>
        <w:ind w:left="360"/>
      </w:pPr>
      <w:r>
        <w:rPr>
          <w:i/>
        </w:rPr>
        <w:t xml:space="preserve">de mots importants : justice (ayn, dá, lam - ‘adl), connaissance (ayn,</w:t>
      </w:r>
    </w:p>
    <w:p>
      <w:pPr>
        <w:ind w:left="360"/>
      </w:pPr>
      <w:r>
        <w:rPr>
          <w:i/>
        </w:rPr>
        <w:t xml:space="preserve">lam, mim - ‘ilm), serviteur (ayn, bá, dá -‘abd), reconnaissance (ayn, rá,</w:t>
      </w:r>
    </w:p>
    <w:p>
      <w:pPr>
        <w:ind w:left="360"/>
      </w:pPr>
      <w:r>
        <w:rPr>
          <w:i/>
        </w:rPr>
        <w:t xml:space="preserve">fá, alif, nún - ‘irfán), etc... La voyelle qui suit l'espèce d'apostrophe n'est</w:t>
      </w:r>
    </w:p>
    <w:p>
      <w:pPr>
        <w:ind w:left="360"/>
      </w:pPr>
      <w:r>
        <w:rPr>
          <w:i/>
        </w:rPr>
        <w:t xml:space="preserve">là que pour la prononciation ! Par contre, ne pas translittérer le ayn c'est</w:t>
      </w:r>
    </w:p>
    <w:p>
      <w:pPr>
        <w:ind w:left="360"/>
      </w:pPr>
      <w:r>
        <w:rPr>
          <w:i/>
        </w:rPr>
        <w:t xml:space="preserve">amputer le mot arabe : les mots bd, dl, lm, rfán, n'existent pas en arabe.</w:t>
      </w:r>
    </w:p>
    <w:p>
      <w:pPr>
        <w:ind w:left="360"/>
      </w:pPr>
      <w:r>
        <w:rPr>
          <w:i/>
        </w:rPr>
        <w:t xml:space="preserve">C'est comme si l'initiale de votre nom ou prénom n'existait pas...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l'habitude, vous saurez ainsi décoder et prononcer l'arabe lorsqu'il</w:t>
      </w:r>
    </w:p>
    <w:p>
      <w:pPr>
        <w:ind w:left="360"/>
      </w:pPr>
      <w:r>
        <w:rPr>
          <w:i/>
        </w:rPr>
        <w:t xml:space="preserve">est écrit en alphabet latin.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‘Abbás</w:t>
      </w:r>
    </w:p>
    <w:p>
      <w:pPr>
        <w:ind w:left="360"/>
      </w:pPr>
      <w:r>
        <w:rPr>
          <w:i/>
        </w:rPr>
        <w:t xml:space="preserve">(les deux lettres qui indiquent son nom étant un 'ayn', ceci explique</w:t>
      </w:r>
    </w:p>
    <w:p>
      <w:pPr>
        <w:ind w:left="360"/>
      </w:pPr>
      <w:r>
        <w:rPr>
          <w:i/>
        </w:rPr>
        <w:t xml:space="preserve">pourquoi à la fin d'une prière de ‘Abdu’l-Bahá, les amis persanophones</w:t>
      </w:r>
    </w:p>
    <w:p>
      <w:pPr>
        <w:ind w:left="360"/>
      </w:pPr>
      <w:r>
        <w:rPr>
          <w:i/>
        </w:rPr>
        <w:t xml:space="preserve">prononcent 'ayn ... ayn')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titre d'exercice, voici le premier verset du Kitáb-i-Aqdas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inná awwala má kataba ’l-lláh(u) ‘alá ’l-‘ibád(i) ‘irfánu mashriqi waḥíhi</w:t>
      </w:r>
    </w:p>
    <w:p>
      <w:pPr>
        <w:ind w:left="360"/>
      </w:pPr>
      <w:r>
        <w:rPr>
          <w:i/>
        </w:rPr>
        <w:t xml:space="preserve">wa maṭla‘i amrihi al-ladhí kána maqáma nafsihi fí ‘álami ’l-amr wa ’l-</w:t>
      </w:r>
    </w:p>
    <w:p>
      <w:pPr>
        <w:ind w:left="360"/>
      </w:pPr>
      <w:r>
        <w:rPr>
          <w:i/>
        </w:rPr>
        <w:t xml:space="preserve">khalq(i) man fáza bihi qad fáza bi kulli ’l-khayir(i) wa ’l-ladhí muni‘a</w:t>
      </w:r>
    </w:p>
    <w:p>
      <w:pPr>
        <w:ind w:left="360"/>
      </w:pPr>
      <w:r>
        <w:rPr>
          <w:i/>
        </w:rPr>
        <w:t xml:space="preserve">innahu min ahli ’ḍ-ḍaláli wa law iáti bi kulli ’l-á‘mál(i) 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</w:t>
      </w:r>
    </w:p>
    <w:p>
      <w:pPr>
        <w:ind w:left="360"/>
      </w:pPr>
      <w:r>
        <w:rPr>
          <w:i/>
        </w:rPr>
        <w:t xml:space="preserve">Translittération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Lettres          Translittérat</w:t>
      </w:r>
    </w:p>
    <w:p>
      <w:pPr>
        <w:ind w:left="360"/>
      </w:pPr>
      <w:r>
        <w:rPr>
          <w:i/>
        </w:rPr>
        <w:t xml:space="preserve">Nom                  Valeur phonétique (API)</w:t>
      </w:r>
    </w:p>
    <w:p>
      <w:pPr>
        <w:ind w:left="360"/>
      </w:pPr>
      <w:r>
        <w:rPr>
          <w:i/>
        </w:rPr>
        <w:t xml:space="preserve">arabes               ion</w:t>
      </w:r>
    </w:p>
    <w:p>
      <w:pPr>
        <w:ind w:left="360"/>
      </w:pPr>
      <w:r>
        <w:rPr>
          <w:i/>
        </w:rPr>
        <w:t xml:space="preserve">divers, y compris [aː] et</w:t>
      </w:r>
    </w:p>
    <w:p>
      <w:pPr>
        <w:ind w:left="360"/>
      </w:pPr>
      <w:r>
        <w:rPr>
          <w:i/>
        </w:rPr>
        <w:t xml:space="preserve">‫ا‬      alif       á, a</w:t>
      </w:r>
    </w:p>
    <w:p>
      <w:pPr>
        <w:ind w:left="360"/>
      </w:pPr>
      <w:r>
        <w:rPr>
          <w:i/>
        </w:rPr>
        <w:t xml:space="preserve">[æː]</w:t>
      </w:r>
    </w:p>
    <w:p>
      <w:pPr>
        <w:ind w:left="360"/>
      </w:pPr>
      <w:r>
        <w:rPr>
          <w:i/>
        </w:rPr>
        <w:t xml:space="preserve">‫ب‬        bá         b                   [b]</w:t>
      </w:r>
    </w:p>
    <w:p>
      <w:pPr>
        <w:ind w:left="360"/>
      </w:pPr>
      <w:r>
        <w:rPr>
          <w:i/>
        </w:rPr>
        <w:t xml:space="preserve">‫ت‬        tá         t                   [t]</w:t>
      </w:r>
    </w:p>
    <w:p>
      <w:pPr>
        <w:ind w:left="360"/>
      </w:pPr>
      <w:r>
        <w:rPr>
          <w:i/>
        </w:rPr>
        <w:t xml:space="preserve">‫ﺙ‬       thá         th          [θ] (ar) ; [s] (fa)</w:t>
      </w:r>
    </w:p>
    <w:p>
      <w:pPr>
        <w:ind w:left="360"/>
      </w:pPr>
      <w:r>
        <w:rPr>
          <w:i/>
        </w:rPr>
        <w:t xml:space="preserve">‫ﺝ‬       jím         j                  [ddʒ]</w:t>
      </w:r>
    </w:p>
    <w:p>
      <w:pPr>
        <w:ind w:left="360"/>
      </w:pPr>
      <w:r>
        <w:rPr>
          <w:i/>
        </w:rPr>
        <w:t xml:space="preserve">‫ﺡ‬        ḥá         ḥ           [ħ] (ar) ; [h] (fa)</w:t>
      </w:r>
    </w:p>
    <w:p>
      <w:pPr>
        <w:ind w:left="360"/>
      </w:pPr>
      <w:r>
        <w:rPr>
          <w:i/>
        </w:rPr>
        <w:t xml:space="preserve">‫ﺥ‬       khá        kh           [χ] (ar) ; [x] (fa)</w:t>
      </w:r>
    </w:p>
    <w:p>
      <w:pPr>
        <w:ind w:left="360"/>
      </w:pPr>
      <w:r>
        <w:rPr>
          <w:i/>
        </w:rPr>
        <w:t xml:space="preserve">‫ﺩ‬       dál         d                   [d]</w:t>
      </w:r>
    </w:p>
    <w:p>
      <w:pPr>
        <w:ind w:left="360"/>
      </w:pPr>
      <w:r>
        <w:rPr>
          <w:i/>
        </w:rPr>
        <w:t xml:space="preserve">‫ﺫ‬       dhál       dh           [ð] (ar) ; [z] (fa)</w:t>
      </w:r>
    </w:p>
    <w:p>
      <w:pPr>
        <w:ind w:left="360"/>
      </w:pPr>
      <w:r>
        <w:rPr>
          <w:i/>
        </w:rPr>
        <w:t xml:space="preserve">‫ﺭ‬       rá         r                   [r]</w:t>
      </w:r>
    </w:p>
    <w:p>
      <w:pPr>
        <w:ind w:left="360"/>
      </w:pPr>
      <w:r>
        <w:rPr>
          <w:i/>
        </w:rPr>
        <w:t xml:space="preserve">‫ﺯ‬      záy         z                   [z]</w:t>
      </w:r>
    </w:p>
    <w:p>
      <w:pPr>
        <w:ind w:left="360"/>
      </w:pPr>
      <w:r>
        <w:rPr>
          <w:i/>
        </w:rPr>
        <w:t xml:space="preserve">‫ﺱ‬       sín         s                   [s]</w:t>
      </w:r>
    </w:p>
    <w:p>
      <w:pPr>
        <w:ind w:left="360"/>
      </w:pPr>
      <w:r>
        <w:rPr>
          <w:i/>
        </w:rPr>
        <w:t xml:space="preserve">‫ﺵ‬       shín        sh                   [ʃ]</w:t>
      </w:r>
    </w:p>
    <w:p>
      <w:pPr>
        <w:ind w:left="360"/>
      </w:pPr>
      <w:r>
        <w:rPr>
          <w:i/>
        </w:rPr>
        <w:t xml:space="preserve">‫ﺹ‬       ṣád         ṣ           [sˁ] (ar) ; [s] (fa)</w:t>
      </w:r>
    </w:p>
    <w:p>
      <w:pPr>
        <w:ind w:left="360"/>
      </w:pPr>
      <w:r>
        <w:rPr>
          <w:i/>
        </w:rPr>
        <w:t xml:space="preserve">‫ﺽ‬       ḍád         ḍ           [dˁ] (ar) ; [z] (fa)</w:t>
      </w:r>
    </w:p>
    <w:p>
      <w:pPr>
        <w:ind w:left="360"/>
      </w:pPr>
      <w:r>
        <w:rPr>
          <w:i/>
        </w:rPr>
        <w:t xml:space="preserve">‫ﻁ‬        ṭá         ṭ           [tˁ] (ar) ; [t] (fa)</w:t>
      </w:r>
    </w:p>
    <w:p>
      <w:pPr>
        <w:ind w:left="360"/>
      </w:pPr>
      <w:r>
        <w:rPr>
          <w:i/>
        </w:rPr>
        <w:t xml:space="preserve">‫ﻅ‬        ẓá         ẓ           [ðˁ] (ar) ; [z] (fa)</w:t>
      </w:r>
    </w:p>
    <w:p>
      <w:pPr>
        <w:ind w:left="360"/>
      </w:pPr>
      <w:r>
        <w:rPr>
          <w:i/>
        </w:rPr>
        <w:t xml:space="preserve">‫ﻉ‬       ‘ayn        ‘            [ʕ] (ar) ; [ʔ] (fa)</w:t>
      </w:r>
    </w:p>
    <w:p>
      <w:pPr>
        <w:ind w:left="360"/>
      </w:pPr>
      <w:r>
        <w:rPr>
          <w:i/>
        </w:rPr>
        <w:t xml:space="preserve">‫ﻍ‬       ghay       gh           [ʁ] (ar) ; [ɣ] (fa)</w:t>
      </w:r>
    </w:p>
    <w:p>
      <w:pPr>
        <w:ind w:left="360"/>
      </w:pPr>
      <w:r>
        <w:rPr>
          <w:i/>
        </w:rPr>
        <w:t xml:space="preserve">‫ﻑ‬        fá         f                    [f]</w:t>
      </w:r>
    </w:p>
    <w:p>
      <w:pPr>
        <w:ind w:left="360"/>
      </w:pPr>
      <w:r>
        <w:rPr>
          <w:i/>
        </w:rPr>
        <w:t xml:space="preserve">‫ﻕ‬           qáf              q               [q] (ar) ; [ɢ], [ɣ] (fa)</w:t>
      </w:r>
    </w:p>
    <w:p>
      <w:pPr>
        <w:ind w:left="360"/>
      </w:pPr>
      <w:r>
        <w:rPr>
          <w:i/>
        </w:rPr>
        <w:t xml:space="preserve">‫ﻙ‬           káf              k                         [k]</w:t>
      </w:r>
    </w:p>
    <w:p>
      <w:pPr>
        <w:ind w:left="360"/>
      </w:pPr>
      <w:r>
        <w:rPr>
          <w:i/>
        </w:rPr>
        <w:t xml:space="preserve">‫ﻝ‬           lám              l                            [l]</w:t>
      </w:r>
    </w:p>
    <w:p>
      <w:pPr>
        <w:ind w:left="360"/>
      </w:pPr>
      <w:r>
        <w:rPr>
          <w:i/>
        </w:rPr>
        <w:t xml:space="preserve">‫ﻡ‬           mím              m                         [m]</w:t>
      </w:r>
    </w:p>
    <w:p>
      <w:pPr>
        <w:ind w:left="360"/>
      </w:pPr>
      <w:r>
        <w:rPr>
          <w:i/>
        </w:rPr>
        <w:t xml:space="preserve">‫ﻥ‬           nún              n                         [n]</w:t>
      </w:r>
    </w:p>
    <w:p>
      <w:pPr>
        <w:ind w:left="360"/>
      </w:pPr>
      <w:r>
        <w:rPr>
          <w:i/>
        </w:rPr>
        <w:t xml:space="preserve">‫ﻩ‬           há               h                         [h]</w:t>
      </w:r>
    </w:p>
    <w:p>
      <w:pPr>
        <w:ind w:left="360"/>
      </w:pPr>
      <w:r>
        <w:rPr>
          <w:i/>
        </w:rPr>
        <w:t xml:space="preserve">‫ﻭ‬           wáw         ú, v, w              [uː], [w] (ar) ; [v] (fa)</w:t>
      </w:r>
    </w:p>
    <w:p>
      <w:pPr>
        <w:ind w:left="360"/>
      </w:pPr>
      <w:r>
        <w:rPr>
          <w:i/>
        </w:rPr>
        <w:t xml:space="preserve">‫ﻱ‬           yá           í, y                        [iː], [j]</w:t>
      </w:r>
    </w:p>
    <w:p>
      <w:pPr>
        <w:ind w:left="360"/>
      </w:pPr>
      <w:r>
        <w:rPr>
          <w:i/>
        </w:rPr>
        <w:t xml:space="preserve">‫ﭺ‬           cha              ch                        [tdʃ]</w:t>
      </w:r>
    </w:p>
    <w:p>
      <w:pPr>
        <w:ind w:left="360"/>
      </w:pPr>
      <w:r>
        <w:rPr>
          <w:i/>
        </w:rPr>
        <w:t xml:space="preserve">‫گ‬           ga               g                         [ɡ]</w:t>
      </w:r>
    </w:p>
    <w:p>
      <w:pPr>
        <w:ind w:left="360"/>
      </w:pPr>
      <w:r>
        <w:rPr>
          <w:i/>
        </w:rPr>
        <w:t xml:space="preserve">‫پ‬           pa               p                         [p]</w:t>
      </w:r>
    </w:p>
    <w:p>
      <w:pPr>
        <w:ind w:left="360"/>
      </w:pPr>
      <w:r>
        <w:rPr>
          <w:i/>
        </w:rPr>
        <w:t xml:space="preserve">‫ژ‬           zha              zh                        [ʒ]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Lettres                        Translittératio             Valeur</w:t>
      </w:r>
    </w:p>
    <w:p>
      <w:pPr>
        <w:ind w:left="360"/>
      </w:pPr>
      <w:r>
        <w:rPr>
          <w:i/>
        </w:rPr>
        <w:t xml:space="preserve">Nom</w:t>
      </w:r>
    </w:p>
    <w:p>
      <w:pPr>
        <w:ind w:left="360"/>
      </w:pPr>
      <w:r>
        <w:rPr>
          <w:i/>
        </w:rPr>
        <w:t xml:space="preserve">arabes                               n                   phonétique</w:t>
      </w:r>
    </w:p>
    <w:p>
      <w:pPr>
        <w:ind w:left="360"/>
      </w:pPr>
      <w:r>
        <w:rPr>
          <w:i/>
        </w:rPr>
        <w:t xml:space="preserve">‫ء‬              hamza                  ’                    [ʔ] (ar)</w:t>
      </w:r>
    </w:p>
    <w:p>
      <w:pPr>
        <w:ind w:left="360"/>
      </w:pPr>
      <w:r>
        <w:rPr>
          <w:i/>
        </w:rPr>
        <w:t xml:space="preserve">‫آ‬          alif madda                 á                   [ʔaː] (ar)</w:t>
      </w:r>
    </w:p>
    <w:p>
      <w:pPr>
        <w:ind w:left="360"/>
      </w:pPr>
      <w:r>
        <w:rPr>
          <w:i/>
        </w:rPr>
        <w:t xml:space="preserve">‫ة‬           tá marbúṭa                t, h             [a], [at] (ar)</w:t>
      </w:r>
    </w:p>
    <w:p>
      <w:pPr>
        <w:ind w:left="360"/>
      </w:pPr>
      <w:r>
        <w:rPr>
          <w:i/>
        </w:rPr>
        <w:t xml:space="preserve">alif</w:t>
      </w:r>
    </w:p>
    <w:p>
      <w:pPr>
        <w:ind w:left="360"/>
      </w:pPr>
      <w:r>
        <w:rPr>
          <w:i/>
        </w:rPr>
        <w:t xml:space="preserve">‫ى‬                                      á                   [aː] (ar)</w:t>
      </w:r>
    </w:p>
    <w:p>
      <w:pPr>
        <w:ind w:left="360"/>
      </w:pPr>
      <w:r>
        <w:rPr>
          <w:i/>
        </w:rPr>
        <w:t xml:space="preserve">maqṣúra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Numération Abjad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1   2     3     4         5    6        7     8         9</w:t>
      </w:r>
    </w:p>
    <w:p>
      <w:pPr>
        <w:ind w:left="360"/>
      </w:pPr>
      <w:r>
        <w:rPr>
          <w:i/>
        </w:rPr>
        <w:t xml:space="preserve">‫ا‬   ‫ب‬     ‫ﺝ‬      ‫ﺩ‬        ‫ﻩ‬    ‫ﻭ‬        ‫ﺯ‬     ‫ﺡ‬         ‫ﻁ‬</w:t>
      </w:r>
    </w:p>
    <w:p>
      <w:pPr>
        <w:ind w:left="360"/>
      </w:pPr>
      <w:r>
        <w:rPr>
          <w:i/>
        </w:rPr>
        <w:t xml:space="preserve">ʾalif bāʾ ǧīm dāl hāʾ wāw zayn ḥāʾ ṭāʾ</w:t>
      </w:r>
    </w:p>
    <w:p>
      <w:pPr>
        <w:ind w:left="360"/>
      </w:pPr>
      <w:r>
        <w:rPr>
          <w:i/>
        </w:rPr>
        <w:t xml:space="preserve">Dizaines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Valeur   10 20 30           40    50 60      70   80 90</w:t>
      </w:r>
    </w:p>
    <w:p>
      <w:pPr>
        <w:ind w:left="360"/>
      </w:pPr>
      <w:r>
        <w:rPr>
          <w:i/>
        </w:rPr>
        <w:t xml:space="preserve">Lettre    ‫ﻱ‬    ‫ﻙ‬     ‫ﻝ‬      ‫ﻡ‬      ‫ﺱ ﻥ‬       ‫ﻉ‬    ‫ﺹ ﻑ‬</w:t>
      </w:r>
    </w:p>
    <w:p>
      <w:pPr>
        <w:ind w:left="360"/>
      </w:pPr>
      <w:r>
        <w:rPr>
          <w:i/>
        </w:rPr>
        <w:t xml:space="preserve">Transcription yāʾ kāf lām mīm nūn sīn ʿayn fāʾ ṣād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Centaines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Valeur    100 200 300 400 500 600 700 800 900</w:t>
      </w:r>
    </w:p>
    <w:p>
      <w:pPr>
        <w:ind w:left="360"/>
      </w:pPr>
      <w:r>
        <w:rPr>
          <w:i/>
        </w:rPr>
        <w:t xml:space="preserve">Lettre    ‫ﻕ‬     ‫ﺭ‬     ‫ﺵ‬      ‫ت‬     ‫ﺙ‬      ‫ﺥ‬   ‫ﺫ‬    ‫ﺽ‬   ‫ﻅ‬</w:t>
      </w:r>
    </w:p>
    <w:p>
      <w:pPr>
        <w:ind w:left="360"/>
      </w:pPr>
      <w:r>
        <w:rPr>
          <w:i/>
        </w:rPr>
        <w:t xml:space="preserve">Transcription qāf rāʾ šīn tāʾ           ṯāʾ ḫāʾ ḏāl ḍād ẓāʾ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Milliers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Valeur        1 000</w:t>
      </w:r>
    </w:p>
    <w:p>
      <w:pPr>
        <w:ind w:left="360"/>
      </w:pPr>
      <w:r>
        <w:rPr>
          <w:i/>
        </w:rPr>
        <w:t xml:space="preserve">Lettre         ‫ﻍ‬</w:t>
      </w:r>
    </w:p>
    <w:p>
      <w:pPr>
        <w:ind w:left="360"/>
      </w:pPr>
      <w:r>
        <w:rPr>
          <w:i/>
        </w:rPr>
        <w:t xml:space="preserve">Transcription ġayn</w:t>
      </w:r>
    </w:p>
    <w:p>
      <w:pPr>
        <w:ind w:left="360"/>
      </w:pPr>
      <w:r>
        <w:rPr>
          <w:i/>
        </w:rPr>
        <w:t xml:space="preserve">Et pour terminer en beauté :</w:t>
      </w:r>
    </w:p>
    <w:p>
      <w:pPr>
        <w:ind w:left="360"/>
      </w:pPr>
      <w:r>
        <w:rPr>
          <w:i/>
        </w:rPr>
        <w:t xml:space="preserve">L'artiste de génie qu'était Mishkín-Qalam a réalisé une</w:t>
      </w:r>
    </w:p>
    <w:p>
      <w:pPr>
        <w:ind w:left="360"/>
      </w:pPr>
      <w:r>
        <w:rPr>
          <w:i/>
        </w:rPr>
        <w:t xml:space="preserve">calligraphie de Yá Bahá’u’l-Abhá qui en arabe s'écrit :</w:t>
      </w:r>
    </w:p>
    <w:p>
      <w:pPr>
        <w:ind w:left="360"/>
      </w:pPr>
      <w:r>
        <w:rPr>
          <w:i/>
        </w:rPr>
        <w:t xml:space="preserve">‫يا بهاء ال ابهی‬</w:t>
      </w:r>
    </w:p>
    <w:p>
      <w:pPr>
        <w:ind w:left="360"/>
      </w:pPr>
      <w:r>
        <w:rPr>
          <w:i/>
        </w:rPr>
        <w:t xml:space="preserve">(le ‫ ی‬équivaut à un 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 pris   ‫ يا‬pour en faire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Ensuite     ‫ بهاء‬pour en faire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  ‫ ال‬pour en faire</w:t>
      </w:r>
    </w:p>
    <w:p>
      <w:pPr>
        <w:ind w:left="360"/>
      </w:pPr>
      <w:r>
        <w:rPr>
          <w:i/>
        </w:rPr>
        <w:t xml:space="preserve">Et finalement     ‫ ابهی‬pour en faire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l'on superpose tout, on obtient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symbole du PLUS GRAND NOM.</w:t>
      </w:r>
    </w:p>
    <w:p>
      <w:pPr>
        <w:ind w:left="360"/>
      </w:pPr>
      <w:r>
        <w:rPr>
          <w:i/>
        </w:rPr>
        <w:t xml:space="preserve">***************</w:t>
      </w:r>
    </w:p>
    <w:p>
      <w:pPr>
        <w:ind w:left="360"/>
      </w:pPr>
      <w:r>
        <w:rPr>
          <w:color w:val="555555"/>
          <w:sz w:val="18"/>
        </w:rPr>
        <w:t xml:space="preserve">— La translitteration baha'ie: pourquoi, comment (Used by permission of the curator)</w:t>
      </w:r>
    </w:p>
    <w:p/>
  </w:body>
</w:document>
</file>