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Ezechiel</w:t>
      </w:r>
    </w:p>
    <w:p/>
  </w:body>
</w:document>
</file>