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2026-06-20 - 1 clipping</w:t>
      </w:r>
    </w:p>
    <w:p>
      <w:pPr>
        <w:ind w:left="360"/>
      </w:pPr>
      <w:r>
        <w:rPr>
          <w:i/>
        </w:rPr>
        <w:t xml:space="preserve">ПЕРЕВОД</w:t>
      </w:r>
    </w:p>
    <w:p>
      <w:pPr>
        <w:ind w:left="360"/>
      </w:pPr>
      <w:r>
        <w:rPr>
          <w:i/>
        </w:rPr>
        <w:t xml:space="preserve"/>
      </w:r>
    </w:p>
    <w:p>
      <w:pPr>
        <w:ind w:left="360"/>
      </w:pPr>
      <w:r>
        <w:rPr>
          <w:i/>
        </w:rPr>
        <w:t xml:space="preserve">Апрель 2002 г.</w:t>
      </w:r>
    </w:p>
    <w:p>
      <w:pPr>
        <w:ind w:left="360"/>
      </w:pPr>
      <w:r>
        <w:rPr>
          <w:i/>
        </w:rPr>
        <w:t xml:space="preserve"/>
      </w:r>
    </w:p>
    <w:p>
      <w:pPr>
        <w:ind w:left="360"/>
      </w:pPr>
      <w:r>
        <w:rPr>
          <w:i/>
        </w:rPr>
        <w:t xml:space="preserve">Религиозным Лидерам Мира</w:t>
      </w:r>
    </w:p>
    <w:p>
      <w:pPr>
        <w:ind w:left="360"/>
      </w:pPr>
      <w:r>
        <w:rPr>
          <w:i/>
        </w:rPr>
        <w:t xml:space="preserve"/>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