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Уильям С. Хэтчер</w:t>
      </w:r>
    </w:p>
    <w:p>
      <w:r>
        <w:rPr>
          <w:color w:val="555555"/>
          <w:sz w:val="20"/>
        </w:rPr>
        <w:t xml:space="preserve">Exported from Holy-Writings.com on 2026-06-21 - 1 clipping</w:t>
      </w:r>
    </w:p>
    <w:p>
      <w:pPr>
        <w:ind w:left="360"/>
      </w:pPr>
      <w:r>
        <w:rPr>
          <w:i/>
        </w:rPr>
        <w:t xml:space="preserve">Уильям С. Хэтчер</w:t>
      </w:r>
    </w:p>
    <w:p>
      <w:pPr>
        <w:ind w:left="360"/>
      </w:pPr>
      <w:r>
        <w:rPr>
          <w:i/>
        </w:rPr>
        <w:t xml:space="preserve"/>
      </w:r>
    </w:p>
    <w:p>
      <w:pPr>
        <w:ind w:left="360"/>
      </w:pPr>
      <w:r>
        <w:rPr>
          <w:i/>
        </w:rPr>
        <w:t xml:space="preserve">Уильям Хэтчер - математик, философ, педагог. Он получил докторскую степень по математике в Университете Ньюшатель, Швейцария, а также степени мастера и бакалавра в Университете Вандербильта в Нашвилле, штат Теннесси. Специалист по философской интерпретации науки и религии, он на протяжении более чем тридцати лет занимает различные должности в университетах и путешествует с лекциями по Северной Америке, Европе и России, где он ныне живёт и работает.</w:t>
      </w:r>
    </w:p>
    <w:p>
      <w:pPr>
        <w:ind w:left="360"/>
      </w:pPr>
      <w:r>
        <w:rPr>
          <w:i/>
        </w:rPr>
        <w:t xml:space="preserve">Уильям Хэтчер - автор либо соавтор более чем пятидесяти профессиональных статей, книг и монографий по математическим наукам, логике и философии. Среди его работ: "Логические основания математики", Pergamon Press, Oxford, 1982; "Вера Бахаи" (в соавторстве с Дж. Дугласом Мартином), Harper &amp; Row (ныне Harper-Collins), San Francisco, 1985; "Логика и Логос", George Ronald, Oxford, 1990. Резюме последней работы включено в Encyclopйdie Phylosophique Universelle (Presses Universitaires de France, 1992), где проф. Хэтчер перечислен среди восьми философов-платонистов второй половины XX века. Среди  более недавних работ - написанная проф. Хэтчером глубокая статья "Основания математики" для 1997 года издания "Энциклопедии Британника".</w:t>
      </w:r>
    </w:p>
    <w:p>
      <w:pPr>
        <w:ind w:left="360"/>
      </w:pPr>
      <w:r>
        <w:rPr>
          <w:i/>
        </w:rPr>
        <w:t xml:space="preserve">Помимо своей профессиональной деятельности проф. Хэтчер имел возможность служить Общине Бахаи на различных  административных постах и ныне является членом Национального Духовного Собрания Бахаи России.</w:t>
      </w:r>
    </w:p>
    <w:p>
      <w:pPr>
        <w:ind w:left="360"/>
      </w:pPr>
      <w:r>
        <w:rPr>
          <w:i/>
        </w:rPr>
        <w:t xml:space="preserve"/>
      </w:r>
    </w:p>
    <w:p>
      <w:pPr>
        <w:ind w:left="360"/>
      </w:pPr>
      <w:r>
        <w:rPr>
          <w:i/>
        </w:rPr>
        <w:t xml:space="preserve">Цикл лекций на вечные и на злободневные темы.</w:t>
      </w:r>
    </w:p>
    <w:p>
      <w:pPr>
        <w:ind w:left="360"/>
      </w:pPr>
      <w:r>
        <w:rPr>
          <w:i/>
        </w:rPr>
        <w:t xml:space="preserve">1. Любовь, Власть и Справедливость.</w:t>
      </w:r>
    </w:p>
    <w:p>
      <w:pPr>
        <w:ind w:left="360"/>
      </w:pPr>
      <w:r>
        <w:rPr>
          <w:i/>
        </w:rPr>
        <w:t xml:space="preserve">Мы можем проследить множество исторических несправедливостей, таких, как рабство или угнетение женщин. Мы выдвигаем тезис, что корни и происхождение этих несправедливостей - стремление к власти как к самоцели (а не просто неправильное использование или проявление власти). Затем мы расматриваем различные стратегии, как общественные, так и индивидуальные, для замены стремления к власти стремлением к любви и справедливости.</w:t>
      </w:r>
    </w:p>
    <w:p>
      <w:pPr>
        <w:ind w:left="360"/>
      </w:pPr>
      <w:r>
        <w:rPr>
          <w:i/>
        </w:rPr>
        <w:t xml:space="preserve">2. Подлинность и Идеология.</w:t>
      </w:r>
    </w:p>
    <w:p>
      <w:pPr>
        <w:ind w:left="360"/>
      </w:pPr>
      <w:r>
        <w:rPr>
          <w:i/>
        </w:rPr>
        <w:t xml:space="preserve">История засвидетельствовала рождение и упадок  множества идеологий и систем верований. Что касается их конкретного философского наполнения, то идеологии могут различаться или даже противоречить друг другу, но все они разделяют одну общую черту: они утверждают, что определенные идеи или верования являются более важными ( имеют ценность более высокую), чем человеческие существа. Мы можем называть это характерным мета-верованием всех идеологических систем. Коль скоро данное мета-верование принято, становится законным жертвовать качеством человеческой жизни ради сохранения определенных идей, как это произошло и с религиозными идеологиями (например, инквизицией в христианстве), и с мирскими идеологиями (например, фашизм и коммунизм).</w:t>
      </w:r>
    </w:p>
    <w:p>
      <w:pPr>
        <w:ind w:left="360"/>
      </w:pPr>
      <w:r>
        <w:rPr>
          <w:i/>
        </w:rPr>
        <w:t xml:space="preserve">Мы предлагаем неидеологический подход к системам социальных верований, утверждающий, что установление подлинных человеческих отношений, основанных на любви и альтруизме, составляет высшую ценность для человеческого существа - выше, чем любой набор идей.  С этой неидеологической точки зрения идеи, верования и принципы должны служить человеческому существу, а не человеческие существа должны быть пожертвованы ради утверждения какого бы то ни было набора идей либо принципов.</w:t>
      </w:r>
    </w:p>
    <w:p>
      <w:pPr>
        <w:ind w:left="360"/>
      </w:pPr>
      <w:r>
        <w:rPr>
          <w:i/>
        </w:rPr>
        <w:t xml:space="preserve">3. Концепция ценности человека</w:t>
      </w:r>
    </w:p>
    <w:p>
      <w:pPr>
        <w:ind w:left="360"/>
      </w:pPr>
      <w:r>
        <w:rPr>
          <w:i/>
        </w:rPr>
        <w:t xml:space="preserve">Концепция личной ценности, или достоинства, существующая в каждом человеке, в значительной мере происходит из его взгляда на природу человеческого существа. Индивидуализм приписывает ценность только тем, кто продемонстрировал особые способности.  Демонстрация особых способностей обычно преследуется через соревнование на всех уровнях общества. Человеческие отношения в контексте соревнования имеют тенденцию становится конфликтными и антагонистичными.  Коллективизм считает, что личность имеет только внешнюю ценность, даваемую ей обществом.  Коллективизм ведет к погоне за властью, поскольку каждая личность пытается приобрести позицию в обществе, которая дает ей власть склонить других признать свою ценность.</w:t>
      </w:r>
    </w:p>
    <w:p>
      <w:pPr>
        <w:ind w:left="360"/>
      </w:pPr>
      <w:r>
        <w:rPr>
          <w:i/>
        </w:rPr>
        <w:t xml:space="preserve">Мы выдвигаем альтернативную точку зрения - что истинная ценность каждого человеческого существа - как внутренняя, так и универсальная - происходит из духовных качеств, присущих бессмертной душе человека.  Эта концепция освобождает личность от побуждения добиваться власти над другими и от необходимости демонстрировать особые способности, дабы достичь высокой самооценки.  Это, таким образом, позволяет личности быть самой собой во всем диапазоне своей человечности, вне зависимости от конкретной роли, которую она может играть в обществе - роль, которая часто зависит от материальных обстоятельств и мало чего общего имеет с истинной духовной ценностью человека.</w:t>
      </w:r>
    </w:p>
    <w:p>
      <w:pPr>
        <w:ind w:left="360"/>
      </w:pPr>
      <w:r>
        <w:rPr>
          <w:i/>
        </w:rPr>
        <w:t xml:space="preserve">4. Социальная этика и личное развитие</w:t>
      </w:r>
    </w:p>
    <w:p>
      <w:pPr>
        <w:ind w:left="360"/>
      </w:pPr>
      <w:r>
        <w:rPr>
          <w:i/>
        </w:rPr>
        <w:t xml:space="preserve">Каждый признает, что человеческое общество не может функционировать, пока большинство личностей в обществе не будет следовать минимальным этическим нормам сотрудничества и общественной ответственности.  Тем не менее, большинство этических систем основывается на предположении, что существует врождённое, логическое противоречие между благом для отдельной личности и благом для всего общества в целом.  Любая социальная система, рассматриваемая в данном ключе, предстает в виде непростого компромисса, в котором определенная доля самореализации должна быть пожертвована ради общественного порядка.</w:t>
      </w:r>
    </w:p>
    <w:p>
      <w:pPr>
        <w:ind w:left="360"/>
      </w:pPr>
      <w:r>
        <w:rPr>
          <w:i/>
        </w:rPr>
        <w:t xml:space="preserve">Мы ставим такое предположенеие под сомнение, развивая тезис о всеобщей гармонии между достижением истинной личной моральной независимости и благополучия, с одной стороны, и стабильного, прогрессивного общественного порядка, с другой.  Более того, мы заявляем, что процессы личного и общественного развития, если их рассматривать должным образом, являются взаимодополняющими и подкрепляющими друг друга.  Наша концепция нравственности является динамической и рассматривает этическое поведение не в виде самоцели, но скорее в качестве естественного результата преследования истинной моральной независимости и благополучия, посредством всё более самосознательного диалога (отношений) себя с собой, себя с Богом и себя с другими.  Движущей силой этого динамического процесса является терпеливый поиск истинных отношений на всех уровнях человеческого взаимодействия.  Таким образом, направление нравственного развития задаётся абсолютно, однако его применение в отношении этических норм относительно и прогрессивно.</w:t>
      </w:r>
    </w:p>
    <w:p>
      <w:pPr>
        <w:ind w:left="360"/>
      </w:pPr>
      <w:r>
        <w:rPr>
          <w:i/>
        </w:rPr>
        <w:t xml:space="preserve">5. Единство религии и науки.</w:t>
      </w:r>
    </w:p>
    <w:p>
      <w:pPr>
        <w:ind w:left="360"/>
      </w:pPr>
      <w:r>
        <w:rPr>
          <w:i/>
        </w:rPr>
        <w:t xml:space="preserve">Традиционный взгляд на взаимодействие между наукой и религией предполагает, что наука является рациональным знанием о физическом, видимом, наблюдаемом мире, в то время как религия представляет (главным образом иррационально или в виде предрассудков) верование о воображаемом, невещественном, невидимом мире.  Однако такой взгляд несомненно ошибочен, потому что наука сама по себе установила существование захватывающего мира ненаблюдаемых сил и сущностей вроде гравитации или электромагнитных сил.</w:t>
      </w:r>
    </w:p>
    <w:p>
      <w:pPr>
        <w:ind w:left="360"/>
      </w:pPr>
      <w:r>
        <w:rPr>
          <w:i/>
        </w:rPr>
        <w:t xml:space="preserve">Мы увидим, что религия может на самом деле считаться скорее средством поиска знания, подобно науке, чем средством утверждения верований, как это зачастую воспринимается.  В действительности, мы увидим, что, при рассмотрении с правильных позиций, религия и наука представляют взаимодополняющие и взаимоукрепляющие объяснения одной и той же основной действительности, причем наука является минималистическим выражением данной действительности (т.е. логика или форма мира), а религия - максималистическим выражением (т.е. логос или дух мира).</w:t>
      </w:r>
    </w:p>
    <w:p>
      <w:pPr>
        <w:ind w:left="360"/>
      </w:pPr>
      <w:r>
        <w:rPr>
          <w:i/>
        </w:rPr>
        <w:t xml:space="preserve">6. Научное доказательство существования Бога.</w:t>
      </w:r>
    </w:p>
    <w:p>
      <w:pPr>
        <w:ind w:left="360"/>
      </w:pPr>
      <w:r>
        <w:rPr>
          <w:i/>
        </w:rPr>
        <w:t xml:space="preserve">Из разнообразных систем, которые мы можем наблюдать в физическом мире, некоторые (например, перемещение частиц пыли, взвешенных в воздухе) выглядят совершенно случайными, хаотичными, в то время как другие (например, рост растений) являют высшую степень порядка и структуры.  Каждый раз, когда ученые имеют дело с феноменом или системой, показывающей значительной развитие в направлении порядка, однако без каких-либо видимых причин для такого развития, они полагают в качестве причины такого явления объективное действие некоторых незримых сил (например, незримая сила тяжести, вызывающая в присутствии больших масс, подобных нашей планете, устойчивое движение неподдерживаемых тел по направлению к этой массе).  Используя данный метод, современная физика утвердила существование по меньшей мере четырех основных сил (сила тяжести, силы слабого и сильного ядерного взаимодействия и электромагнитные силы), и продолжает исследовать возможность существования других, пока еще необнаруженных, сил.</w:t>
      </w:r>
    </w:p>
    <w:p>
      <w:pPr>
        <w:ind w:left="360"/>
      </w:pPr>
      <w:r>
        <w:rPr>
          <w:i/>
        </w:rPr>
        <w:t xml:space="preserve">Мы предлагаем убедительную научную аргументацию существования объективной, невидимой силы как единственно возможного объяснения феномена биологической эволюции.  Поскольку эта сила является причиной эволюции, она является и причиной человеческой сущности, продукта эволюции.  Таким образом, эта сила может быть названа Богом, поскольку это и есть та самая Сила, которая призвала нас к жизни.  Мы исследуем вопрос природы и влияния этой Силы эволюции.</w:t>
      </w:r>
    </w:p>
    <w:p>
      <w:pPr>
        <w:ind w:left="360"/>
      </w:pPr>
      <w:r>
        <w:rPr>
          <w:i/>
        </w:rPr>
        <w:t xml:space="preserve">7. Возможна ли Всемирная Культура?</w:t>
      </w:r>
    </w:p>
    <w:p>
      <w:pPr>
        <w:ind w:left="360"/>
      </w:pPr>
      <w:r>
        <w:rPr>
          <w:i/>
        </w:rPr>
        <w:t xml:space="preserve">Общие культуры вырастают из общего опыта.  До сегодняшнего дня человеческая история производила лишь частные, местные или национальные культуры.  Хотя люди и признают несколько всеобщих тем, проявляющихся особым образом в каждой культуре (например любовь, страдание, смерть), тем не менее в настоящее время не существует истинно всеобщей человеческой культуры.   Вместо этого мы имеем лишь всеобщую конфронтацию относительных, национальных культур.</w:t>
      </w:r>
    </w:p>
    <w:p>
      <w:pPr>
        <w:ind w:left="360"/>
      </w:pPr>
      <w:r>
        <w:rPr>
          <w:i/>
        </w:rPr>
        <w:t xml:space="preserve">Мы развиваем тезис, что истинно всемирная культура достижима и теоретически, и практически.  Более того, мы заявляем, что если переход ко всеобщей культуре организован надлежащим образом, ни один из истинно значимых элементов какой-либо отдельной культуры или истории не будет потерян.  Напротив, всеобщая мировая культура только выиграет от использования отдельного опыта каждой культурной традиции, подобно тому, как общество приобретает от разнообразия возможностей своих отдельных членов.</w:t>
      </w:r>
    </w:p>
    <w:p>
      <w:pPr>
        <w:ind w:left="360"/>
      </w:pPr>
      <w:r>
        <w:rPr>
          <w:color w:val="555555"/>
          <w:sz w:val="18"/>
        </w:rPr>
        <w:t xml:space="preserve">— Уильям С. Хэтчер</w:t>
      </w:r>
    </w:p>
    <w:p/>
  </w:body>
</w:document>
</file>