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T1537.21A</w:t>
      </w:r>
    </w:p>
    <w:p>
      <w:r>
        <w:rPr>
          <w:color w:val="555555"/>
          <w:sz w:val="20"/>
        </w:rPr>
        <w:t xml:space="preserve">Exported from Holy-Writings.com on 2026-06-22 - 1 clipping</w:t>
      </w:r>
    </w:p>
    <w:p>
      <w:pPr>
        <w:ind w:left="360"/>
      </w:pPr>
      <w:r>
        <w:rPr>
          <w:i/>
        </w:rPr>
        <w:t xml:space="preserve">阿毘達磨法蘊足論尊者大目乾連造三藏法師玄奘奉　詔譯(Colophon)</w:t>
      </w:r>
    </w:p>
    <w:p>
      <w:pPr>
        <w:ind w:left="360"/>
      </w:pPr>
      <w:r>
        <w:rPr>
          <w:i/>
        </w:rPr>
        <w:t xml:space="preserve"/>
      </w:r>
    </w:p>
    <w:p>
      <w:pPr>
        <w:ind w:left="360"/>
      </w:pPr>
      <w:r>
        <w:rPr>
          <w:i/>
        </w:rPr>
        <w:t xml:space="preserve">說一切有部法蘊足論卷第十二後序法蘊足論後序沙門靖邁製法蘊足論者，蓋阿毘達磨之權輿、一切有部之洪源也。</w:t>
      </w:r>
    </w:p>
    <w:p>
      <w:pPr>
        <w:ind w:left="360"/>
      </w:pPr>
      <w:r>
        <w:rPr>
          <w:i/>
        </w:rPr>
        <w:t xml:space="preserve"/>
      </w:r>
    </w:p>
    <w:p>
      <w:pPr>
        <w:ind w:left="360"/>
      </w:pPr>
      <w:r>
        <w:rPr>
          <w:i/>
        </w:rPr>
        <w:t xml:space="preserve">無上等覺入室之神足摩訶目乾連之所製矣。</w:t>
      </w:r>
    </w:p>
    <w:p>
      <w:pPr>
        <w:ind w:left="360"/>
      </w:pPr>
      <w:r>
        <w:rPr>
          <w:i/>
        </w:rPr>
        <w:t xml:space="preserve"/>
      </w:r>
    </w:p>
    <w:p>
      <w:pPr>
        <w:ind w:left="360"/>
      </w:pPr>
      <w:r>
        <w:rPr>
          <w:i/>
        </w:rPr>
        <w:t xml:space="preserve">鏡六通之妙慧、晣三達之智明，桴金鼓於大千、聲玉螺於百億，摘藏海之奇玩、鳩教山之勝珍，欲使天鏡常懸、法幢永樹，眾邪息蕃蘺之望、諸子騁遊戲之歡，而為此論也。</w:t>
      </w:r>
    </w:p>
    <w:p>
      <w:pPr>
        <w:ind w:left="360"/>
      </w:pPr>
      <w:r>
        <w:rPr>
          <w:i/>
        </w:rPr>
        <w:t xml:space="preserve"/>
      </w:r>
    </w:p>
    <w:p>
      <w:pPr>
        <w:ind w:left="360"/>
      </w:pPr>
      <w:r>
        <w:rPr>
          <w:i/>
        </w:rPr>
        <w:t xml:space="preserve">是以佛泥越後百有餘年，疊啟五分之殊、解開二九之異，雖各擅連城之貴、俱稱照乘之珍，唯一切有部卓乎逈秀，若妙高之處宏海、猶朗月之冠眾星者，豈不以本弘基永者歟！</w:t>
      </w:r>
    </w:p>
    <w:p>
      <w:pPr>
        <w:ind w:left="360"/>
      </w:pPr>
      <w:r>
        <w:rPr>
          <w:i/>
        </w:rPr>
        <w:t xml:space="preserve"/>
      </w:r>
    </w:p>
    <w:p>
      <w:pPr>
        <w:ind w:left="360"/>
      </w:pPr>
      <w:r>
        <w:rPr>
          <w:i/>
        </w:rPr>
        <w:t xml:space="preserve">至如八種揵度鶩徽於發智之場、五百應真馳譽於廣說之苑，斯皆挹此涓波、分斯片玉，遂得駕群部而高蹈、接天衢而布武。</w:t>
      </w:r>
    </w:p>
    <w:p>
      <w:pPr>
        <w:ind w:left="360"/>
      </w:pPr>
      <w:r>
        <w:rPr>
          <w:i/>
        </w:rPr>
        <w:t xml:space="preserve"/>
      </w:r>
    </w:p>
    <w:p>
      <w:pPr>
        <w:ind w:left="360"/>
      </w:pPr>
      <w:r>
        <w:rPr>
          <w:i/>
        </w:rPr>
        <w:t xml:space="preserve">是知登崑閬者，必培塿於眾山；游溟渤者，亦㘭塘於群澍。</w:t>
      </w:r>
    </w:p>
    <w:p>
      <w:pPr>
        <w:ind w:left="360"/>
      </w:pPr>
      <w:r>
        <w:rPr>
          <w:i/>
        </w:rPr>
        <w:t xml:space="preserve"/>
      </w:r>
    </w:p>
    <w:p>
      <w:pPr>
        <w:ind w:left="360"/>
      </w:pPr>
      <w:r>
        <w:rPr>
          <w:i/>
        </w:rPr>
        <w:t xml:space="preserve">諒其然矣！</w:t>
      </w:r>
    </w:p>
    <w:p>
      <w:pPr>
        <w:ind w:left="360"/>
      </w:pPr>
      <w:r>
        <w:rPr>
          <w:i/>
        </w:rPr>
        <w:t xml:space="preserve"/>
      </w:r>
    </w:p>
    <w:p>
      <w:pPr>
        <w:ind w:left="360"/>
      </w:pPr>
      <w:r>
        <w:rPr>
          <w:i/>
        </w:rPr>
        <w:t xml:space="preserve">矧乎順正理以析疑、顯真宗以副惑，莫不鏡此彝倫、鑒斯洪範，故使耆德婆藪、屈我眾賢，上坐幽宗見負弘致者也。</w:t>
      </w:r>
    </w:p>
    <w:p>
      <w:pPr>
        <w:ind w:left="360"/>
      </w:pPr>
      <w:r>
        <w:rPr>
          <w:i/>
        </w:rPr>
        <w:t xml:space="preserve"/>
      </w:r>
    </w:p>
    <w:p>
      <w:pPr>
        <w:ind w:left="360"/>
      </w:pPr>
      <w:r>
        <w:rPr>
          <w:i/>
        </w:rPr>
        <w:t xml:space="preserve">題稱阿毘達磨者，形二藏以簡殊也。</w:t>
      </w:r>
    </w:p>
    <w:p>
      <w:pPr>
        <w:ind w:left="360"/>
      </w:pPr>
      <w:r>
        <w:rPr>
          <w:i/>
        </w:rPr>
        <w:t xml:space="preserve"/>
      </w:r>
    </w:p>
    <w:p>
      <w:pPr>
        <w:ind w:left="360"/>
      </w:pPr>
      <w:r>
        <w:rPr>
          <w:i/>
        </w:rPr>
        <w:t xml:space="preserve">一切有部者，對十七以標異也。</w:t>
      </w:r>
    </w:p>
    <w:p>
      <w:pPr>
        <w:ind w:left="360"/>
      </w:pPr>
      <w:r>
        <w:rPr>
          <w:i/>
        </w:rPr>
        <w:t xml:space="preserve"/>
      </w:r>
    </w:p>
    <w:p>
      <w:pPr>
        <w:ind w:left="360"/>
      </w:pPr>
      <w:r>
        <w:rPr>
          <w:i/>
        </w:rPr>
        <w:t xml:space="preserve">法蘊足者，顯此論之勝名也。</w:t>
      </w:r>
    </w:p>
    <w:p>
      <w:pPr>
        <w:ind w:left="360"/>
      </w:pPr>
      <w:r>
        <w:rPr>
          <w:i/>
        </w:rPr>
        <w:t xml:space="preserve"/>
      </w:r>
    </w:p>
    <w:p>
      <w:pPr>
        <w:ind w:left="360"/>
      </w:pPr>
      <w:r>
        <w:rPr>
          <w:i/>
        </w:rPr>
        <w:t xml:space="preserve">能持自性、軌範稱法，法有積集崇聚為蘊。</w:t>
      </w:r>
    </w:p>
    <w:p>
      <w:pPr>
        <w:ind w:left="360"/>
      </w:pPr>
      <w:r>
        <w:rPr>
          <w:i/>
        </w:rPr>
        <w:t xml:space="preserve"/>
      </w:r>
    </w:p>
    <w:p>
      <w:pPr>
        <w:ind w:left="360"/>
      </w:pPr>
      <w:r>
        <w:rPr>
          <w:i/>
        </w:rPr>
        <w:t xml:space="preserve">此論攸宗法聚三七，皆與對法為依，故目之為足。</w:t>
      </w:r>
    </w:p>
    <w:p>
      <w:pPr>
        <w:ind w:left="360"/>
      </w:pPr>
      <w:r>
        <w:rPr>
          <w:i/>
        </w:rPr>
        <w:t xml:space="preserve"/>
      </w:r>
    </w:p>
    <w:p>
      <w:pPr>
        <w:ind w:left="360"/>
      </w:pPr>
      <w:r>
        <w:rPr>
          <w:i/>
        </w:rPr>
        <w:t xml:space="preserve">三藏玄奘法師，以　皇唐顯慶四年九月十四日，奉　詔於大慈恩寺弘法苑譯訖。</w:t>
      </w:r>
    </w:p>
    <w:p>
      <w:pPr>
        <w:ind w:left="360"/>
      </w:pPr>
      <w:r>
        <w:rPr>
          <w:i/>
        </w:rPr>
        <w:t xml:space="preserve"/>
      </w:r>
    </w:p>
    <w:p>
      <w:pPr>
        <w:ind w:left="360"/>
      </w:pPr>
      <w:r>
        <w:rPr>
          <w:i/>
        </w:rPr>
        <w:t xml:space="preserve">大慈恩寺沙門釋光筆受，靖邁飾文。</w:t>
      </w:r>
    </w:p>
    <w:p>
      <w:pPr>
        <w:ind w:left="360"/>
      </w:pPr>
      <w:r>
        <w:rPr>
          <w:color w:val="555555"/>
          <w:sz w:val="18"/>
        </w:rPr>
        <w:t xml:space="preserve">— T1537.21A — Taisho Tipitaka (CC0-1.0)</w:t>
      </w:r>
    </w:p>
    <w:p/>
  </w:body>
</w:document>
</file>