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SA139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(一三九)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「何所有故、何所起、何所繋、何所著、何所見我，若未起憂、悲、惱、苦令起，已起憂、悲、惱、苦重令増廣？」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諸比丘白佛言： 「世尊是法根、法眼、法依。 唯願廣説。 諸比丘聞已，當受奉行。」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佛告諸比丘： 「色有故，色起、色繋、著故，於色見我。 未起憂、悲、惱、苦令起，已起憂、悲、惱、苦重令増廣。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「諸比丘，於意云何？ 色爲常耶，爲非常耶？」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復問： 「若無常者，是苦耶？」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「如是，比丘。 若無常者，是苦。 是苦有故，是事起、繋、著、見我。 若未起憂、悲、惱、苦令起，已起憂、悲、惱、苦重令増廣。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「是故，諸比丘，諸所有色，若過去、若未來、若現在，若内、若外，若麤、若細。若好、若醜，若遠、若近，彼一切非我、非異我、不相在。 是名正慧。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「若復見、聞、覺、識起求、隨憶、隨覺、隨觀，彼一切非我、非異我、不相在。 是名正慧。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「若見有我、有世間、有此世、有他世常、恒、不變易，彼一切非我、非異我、不相在。 是名正慧。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「若復有見非此世我、非此世我所、非當來我、非當來我所，彼一切非我、不異我、不相在。 是名正慧。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「若多聞聖弟子於此六見處觀察非我、非我所。 如是觀者於佛狐疑斷，於法、僧狐疑斷。 是名，比丘，多聞聖弟子不復堪任作身、口、意業，趣三惡道。 正使放逸，聖弟子決定向三菩提。 七有天人往來，作苦邊。」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SA139 — Taisho Tipitaka (CC0-1.0)</w:t>
      </w:r>
    </w:p>
    <w:p/>
  </w:body>
</w:document>
</file>