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(三三)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「色非是我。 若色是我者，不應於色病苦生，亦不應於色欲： 『令如是，不令如是。』 以色無我故，於色有病有苦生，亦得於色欲：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「若無常、苦，是變易法。 多聞聖弟子於中寧見有我、異我、相在，不？」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是故，比丘，諸所有色，若過去、若未來、若現在，若内、若外，若麁、若細，若好、若醜，若遠、若近，彼一切非我、不異我、不相在。 如是觀察。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「比丘，多聞聖弟子於此五受陰非我、非我所如實觀察。 如實觀察已，於諸世間都無所取。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SA33 — Taisho Tipitaka (CC0-1.0)</w:t>
      </w:r>
    </w:p>
    <w:p/>
  </w:body>
</w:document>
</file>