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SA34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(三四)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一時，佛住波羅㮈國，仙人住處，鹿野苑中。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爾時，世尊告餘五比丘： 「色非有我。 若色有我者，於色不應病苦生，亦不得於色欲： 『令如是，不令如是。』 以色無我故。於色有病有苦生。亦得於色欲： 『令如是，不令如是。』 受、想、行、識亦復如是。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「比丘，於意云何？ 色爲是常，爲無常耶？」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比丘白佛： 「無常，世尊。」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「比丘，若無常者，是苦耶？」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比丘白佛： 「是苦，世尊。」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「比丘，若無常、苦，是變易法。 多聞聖弟子寧於中見是我、異我、相在，不？」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比丘白佛： 「不也，世尊。」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「受、想、行、識亦復如是。 是故，比丘，諸所有色，若過去、若未來、若現在，若内、若外，若麁、若細，若好、若醜，若遠、若近，彼一切非我、非我所如實觀察。 受、想、行、識亦復如是。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「比丘，多聞聖弟子於此五受陰見非我、非我所。 如是觀察，於諸世間都無所取。 無所取故，無所著。 無所著故，自覺涅槃： 『我生已盡，梵行已立，所作已作。 自知不受後有。』」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佛説此經已，餘五比丘不起諸漏，心得解脱。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SA34 — Taisho Tipitaka (CC0-1.0)</w:t>
      </w:r>
    </w:p>
    <w:p/>
  </w:body>
</w:document>
</file>